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B6B9B" w14:textId="439C56F3" w:rsidR="00A94430" w:rsidRDefault="00A94430" w:rsidP="00A41FC2">
      <w:pPr>
        <w:jc w:val="right"/>
        <w:rPr>
          <w:rFonts w:ascii="Calibri" w:hAnsi="Calibri" w:cs="Calibri"/>
          <w:b/>
          <w:bCs/>
          <w:sz w:val="20"/>
          <w:szCs w:val="20"/>
        </w:rPr>
      </w:pPr>
      <w:r w:rsidRPr="00A41FC2">
        <w:rPr>
          <w:rFonts w:ascii="Calibri" w:hAnsi="Calibri" w:cs="Calibri"/>
          <w:b/>
          <w:bCs/>
          <w:sz w:val="20"/>
          <w:szCs w:val="20"/>
        </w:rPr>
        <w:t>Załącznik nr 2</w:t>
      </w:r>
    </w:p>
    <w:p w14:paraId="1AF024E4" w14:textId="51916FE9" w:rsidR="00A41FC2" w:rsidRPr="00A41FC2" w:rsidRDefault="00A41FC2" w:rsidP="00A41FC2">
      <w:pPr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OPIS PRZEDMIOTU ZAMÓWIENIA</w:t>
      </w:r>
    </w:p>
    <w:p w14:paraId="00E4B843" w14:textId="2B2C3AE0" w:rsidR="00820BAF" w:rsidRPr="00A94430" w:rsidRDefault="00820BAF" w:rsidP="00A41FC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94430">
        <w:rPr>
          <w:rFonts w:ascii="Calibri" w:hAnsi="Calibri" w:cs="Calibri"/>
          <w:sz w:val="20"/>
          <w:szCs w:val="20"/>
        </w:rPr>
        <w:t>Zadanie polega na kompleksowym remoncie odtworzeniowym dwóch zadaszeń (daszków wejściowych) w budynku Centrum Technologicznego Białostockiego parku Naukowo-Technologicznego przy ul. Żurawiej 71A (działka gruntu o geodezyjnym nr ewidencyjnym 206101_1.0021.767/42):</w:t>
      </w:r>
    </w:p>
    <w:p w14:paraId="617D8BC6" w14:textId="77777777" w:rsidR="00820BAF" w:rsidRPr="00A94430" w:rsidRDefault="00820BAF" w:rsidP="00A41FC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94430">
        <w:rPr>
          <w:rFonts w:ascii="Calibri" w:hAnsi="Calibri" w:cs="Calibri"/>
          <w:sz w:val="20"/>
          <w:szCs w:val="20"/>
        </w:rPr>
        <w:t>1. ponad ciągiem wejść do pomieszczeń technicznych budynku od strony północnej (od ul. Borsuczej),</w:t>
      </w:r>
    </w:p>
    <w:p w14:paraId="286815EE" w14:textId="77777777" w:rsidR="00820BAF" w:rsidRPr="00A94430" w:rsidRDefault="00820BAF" w:rsidP="00A41FC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94430">
        <w:rPr>
          <w:rFonts w:ascii="Calibri" w:hAnsi="Calibri" w:cs="Calibri"/>
          <w:sz w:val="20"/>
          <w:szCs w:val="20"/>
        </w:rPr>
        <w:t>2. ponad wejściem do kompleksu laboratoryjnego budynku od strony zachodniej (od budynku Inkubatora Technologicznego i Administracji).</w:t>
      </w:r>
    </w:p>
    <w:p w14:paraId="3C1E1916" w14:textId="77777777" w:rsidR="00820BAF" w:rsidRPr="00A94430" w:rsidRDefault="00820BAF" w:rsidP="00A41FC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94430">
        <w:rPr>
          <w:rFonts w:ascii="Calibri" w:hAnsi="Calibri" w:cs="Calibri"/>
          <w:sz w:val="20"/>
          <w:szCs w:val="20"/>
        </w:rPr>
        <w:t> </w:t>
      </w:r>
    </w:p>
    <w:p w14:paraId="69B541B9" w14:textId="77777777" w:rsidR="00820BAF" w:rsidRPr="00A94430" w:rsidRDefault="00820BAF" w:rsidP="00A41FC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94430">
        <w:rPr>
          <w:rFonts w:ascii="Calibri" w:hAnsi="Calibri" w:cs="Calibri"/>
          <w:sz w:val="20"/>
          <w:szCs w:val="20"/>
        </w:rPr>
        <w:t>Zadanie obejmie demontaż istniejącej struktury zadaszeń, przy czym Zamawiający dopuszcza, że część materiałów może zostać wykorzystana ponownie, po uprzednim uzgodnieniu i dopuszczeniu przez Zamawiającego. Do trwałego demontażu przewidziano instalację elektrycznego ogrzewania połaci zadaszeń w celu uniknięcia gromadzenia się lodu. Instalację należy całkowicie odłączyć od zasilania, właściwie zabezpieczyć, a następnie całkowicie zdemontować. Następnie należy zdemontować wszystkie obróbki blacharskie zadaszeń. Do demontażu przeznaczono również istniejące pokrycie dachowe z papy oraz istniejące poszycie zadaszeń od spodu, wykonane z płyt z tworzywa sztucznego w kolorze białym. Należy zdemontować wszelkie pozostałe elementy towarzyszące, takie jak oprawy oświetleniowe oraz uchwyty do zawieszenia flag, a także rury spustowe.</w:t>
      </w:r>
    </w:p>
    <w:p w14:paraId="69A74327" w14:textId="77777777" w:rsidR="00820BAF" w:rsidRPr="00A94430" w:rsidRDefault="00820BAF" w:rsidP="00A41FC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94430">
        <w:rPr>
          <w:rFonts w:ascii="Calibri" w:hAnsi="Calibri" w:cs="Calibri"/>
          <w:sz w:val="20"/>
          <w:szCs w:val="20"/>
        </w:rPr>
        <w:t> </w:t>
      </w:r>
    </w:p>
    <w:p w14:paraId="50C80D0D" w14:textId="77777777" w:rsidR="00820BAF" w:rsidRPr="00A94430" w:rsidRDefault="00820BAF" w:rsidP="00A41FC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94430">
        <w:rPr>
          <w:rFonts w:ascii="Calibri" w:hAnsi="Calibri" w:cs="Calibri"/>
          <w:sz w:val="20"/>
          <w:szCs w:val="20"/>
        </w:rPr>
        <w:t>Następnie należy dokonać przeglądu konstrukcji nośnej zadaszeń i dokonać niezbędnych napraw i zabezpieczenia po ich odkryciu. W razie potrzeby należy usunąć ogniska korozji i zabezpieczyć konstrukcję właściwymi i trwałymi powłokami antykorozyjnymi.</w:t>
      </w:r>
    </w:p>
    <w:p w14:paraId="25A99C6B" w14:textId="77777777" w:rsidR="00820BAF" w:rsidRPr="00A94430" w:rsidRDefault="00820BAF" w:rsidP="00A41FC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94430">
        <w:rPr>
          <w:rFonts w:ascii="Calibri" w:hAnsi="Calibri" w:cs="Calibri"/>
          <w:sz w:val="20"/>
          <w:szCs w:val="20"/>
        </w:rPr>
        <w:t> </w:t>
      </w:r>
    </w:p>
    <w:p w14:paraId="76E26F89" w14:textId="77777777" w:rsidR="00820BAF" w:rsidRPr="00A94430" w:rsidRDefault="00820BAF" w:rsidP="00A41FC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94430">
        <w:rPr>
          <w:rFonts w:ascii="Calibri" w:hAnsi="Calibri" w:cs="Calibri"/>
          <w:sz w:val="20"/>
          <w:szCs w:val="20"/>
        </w:rPr>
        <w:t xml:space="preserve">Następnie należy od góry odtworzyć pokrycie z papy, układając dwie warstwy: papę wstępnego krycia oraz papę wierzchnią, stosując wszystkie elementy systemowe danego rozwiązania (producenta / typu / rodzaju). Od spodu zadaszenie należy pokryć dedykowanymi, dekoracyjnymi płytami / panelami fasadowymi / dachowymi, przeznaczonymi do tego celu i dedykowanymi do zastosowania na zewnątrz budynku. Kolorystykę, fakturę i teksturę </w:t>
      </w:r>
      <w:proofErr w:type="gramStart"/>
      <w:r w:rsidRPr="00A94430">
        <w:rPr>
          <w:rFonts w:ascii="Calibri" w:hAnsi="Calibri" w:cs="Calibri"/>
          <w:sz w:val="20"/>
          <w:szCs w:val="20"/>
        </w:rPr>
        <w:t>finalnego</w:t>
      </w:r>
      <w:proofErr w:type="gramEnd"/>
      <w:r w:rsidRPr="00A94430">
        <w:rPr>
          <w:rFonts w:ascii="Calibri" w:hAnsi="Calibri" w:cs="Calibri"/>
          <w:sz w:val="20"/>
          <w:szCs w:val="20"/>
        </w:rPr>
        <w:t xml:space="preserve"> rozwiązania należy uzgodnić z Zamawiającym bezpośrednio przed zakupem materiałów, przedstawiając wzorniki, obrazujące dostępne na rynku odpowiednie materiały. Należy również odtworzyć kompleksowo wszystkie obróbki blacharskie, w tym boczną opaskę zadaszeń, a następnie zamontować fabrycznie nowe elementy towarzyszące, takie jak oprawy oświetleniowe oraz uchwyty do zawieszenia flag, a także ponownie zamontować zdemontowane uprzednio rury spustowe. W razie potrzeby rury spustowe należy pomalować. </w:t>
      </w:r>
      <w:proofErr w:type="gramStart"/>
      <w:r w:rsidRPr="00A94430">
        <w:rPr>
          <w:rFonts w:ascii="Calibri" w:hAnsi="Calibri" w:cs="Calibri"/>
          <w:sz w:val="20"/>
          <w:szCs w:val="20"/>
        </w:rPr>
        <w:t>Finalne</w:t>
      </w:r>
      <w:proofErr w:type="gramEnd"/>
      <w:r w:rsidRPr="00A94430">
        <w:rPr>
          <w:rFonts w:ascii="Calibri" w:hAnsi="Calibri" w:cs="Calibri"/>
          <w:sz w:val="20"/>
          <w:szCs w:val="20"/>
        </w:rPr>
        <w:t xml:space="preserve"> rozwiązanie w zakresie opraw oświetleniowych oraz uchwytów do zawieszenia flag należy uzgodnić z Zamawiającym przed zakupem materiałów, przedstawiając wzorniki obrazujące dostępne na rynku odpowiednie materiały.</w:t>
      </w:r>
    </w:p>
    <w:p w14:paraId="67DDE396" w14:textId="77777777" w:rsidR="00820BAF" w:rsidRPr="00A94430" w:rsidRDefault="00820BAF" w:rsidP="00A41FC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94430">
        <w:rPr>
          <w:rFonts w:ascii="Calibri" w:hAnsi="Calibri" w:cs="Calibri"/>
          <w:sz w:val="20"/>
          <w:szCs w:val="20"/>
        </w:rPr>
        <w:t> </w:t>
      </w:r>
    </w:p>
    <w:p w14:paraId="4670E568" w14:textId="77777777" w:rsidR="00820BAF" w:rsidRPr="00A94430" w:rsidRDefault="00820BAF" w:rsidP="00A41FC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94430">
        <w:rPr>
          <w:rFonts w:ascii="Calibri" w:hAnsi="Calibri" w:cs="Calibri"/>
          <w:sz w:val="20"/>
          <w:szCs w:val="20"/>
        </w:rPr>
        <w:t>Zamawiający nie dopuszcza powtórnego wykorzystania:</w:t>
      </w:r>
    </w:p>
    <w:p w14:paraId="741DA08B" w14:textId="77777777" w:rsidR="00820BAF" w:rsidRPr="00A94430" w:rsidRDefault="00820BAF" w:rsidP="00A41FC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94430">
        <w:rPr>
          <w:rFonts w:ascii="Calibri" w:hAnsi="Calibri" w:cs="Calibri"/>
          <w:sz w:val="20"/>
          <w:szCs w:val="20"/>
        </w:rPr>
        <w:t>1. zdemontowanego pokrycia dachowego z papy,</w:t>
      </w:r>
    </w:p>
    <w:p w14:paraId="2FA4E590" w14:textId="77777777" w:rsidR="00820BAF" w:rsidRPr="00A94430" w:rsidRDefault="00820BAF" w:rsidP="00A41FC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94430">
        <w:rPr>
          <w:rFonts w:ascii="Calibri" w:hAnsi="Calibri" w:cs="Calibri"/>
          <w:sz w:val="20"/>
          <w:szCs w:val="20"/>
        </w:rPr>
        <w:t>2. poszycia zadaszeń od spodu, wykonanego z płyt z tworzywa sztucznego w kolorze białym,</w:t>
      </w:r>
    </w:p>
    <w:p w14:paraId="6407A2E5" w14:textId="77777777" w:rsidR="00820BAF" w:rsidRPr="00A94430" w:rsidRDefault="00820BAF" w:rsidP="00A41FC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94430">
        <w:rPr>
          <w:rFonts w:ascii="Calibri" w:hAnsi="Calibri" w:cs="Calibri"/>
          <w:sz w:val="20"/>
          <w:szCs w:val="20"/>
        </w:rPr>
        <w:t>3. zdemontowanych, świetlówkowych opraw oświetleniowych,</w:t>
      </w:r>
    </w:p>
    <w:p w14:paraId="14012660" w14:textId="77777777" w:rsidR="00820BAF" w:rsidRPr="00A94430" w:rsidRDefault="00820BAF" w:rsidP="00A41FC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94430">
        <w:rPr>
          <w:rFonts w:ascii="Calibri" w:hAnsi="Calibri" w:cs="Calibri"/>
          <w:sz w:val="20"/>
          <w:szCs w:val="20"/>
        </w:rPr>
        <w:t>4. drobnych elementów montażowych, typu wkręty, śruby, nakrętki, podkładki, uchwyty, kołki, etc.</w:t>
      </w:r>
    </w:p>
    <w:p w14:paraId="0B29FC08" w14:textId="77777777" w:rsidR="00820BAF" w:rsidRPr="00A94430" w:rsidRDefault="00820BAF" w:rsidP="00A41FC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94430">
        <w:rPr>
          <w:rFonts w:ascii="Calibri" w:hAnsi="Calibri" w:cs="Calibri"/>
          <w:sz w:val="20"/>
          <w:szCs w:val="20"/>
        </w:rPr>
        <w:t>Zamawiający nie wymaga natomiast powtórnego montażu (odtworzenia) elektrycznej instalacji odladzającej zadaszeń.</w:t>
      </w:r>
    </w:p>
    <w:p w14:paraId="64B67980" w14:textId="77777777" w:rsidR="00820BAF" w:rsidRPr="00A94430" w:rsidRDefault="00820BAF" w:rsidP="00A41FC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94430">
        <w:rPr>
          <w:rFonts w:ascii="Calibri" w:hAnsi="Calibri" w:cs="Calibri"/>
          <w:sz w:val="20"/>
          <w:szCs w:val="20"/>
        </w:rPr>
        <w:t> </w:t>
      </w:r>
    </w:p>
    <w:p w14:paraId="475FFEFD" w14:textId="77777777" w:rsidR="00820BAF" w:rsidRPr="00A94430" w:rsidRDefault="00820BAF" w:rsidP="00A41FC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94430">
        <w:rPr>
          <w:rFonts w:ascii="Calibri" w:hAnsi="Calibri" w:cs="Calibri"/>
          <w:sz w:val="20"/>
          <w:szCs w:val="20"/>
        </w:rPr>
        <w:t>Wszystkie materiały muszą pochodzić od uznanych producentów na rynku materiałów budowlanych i instalacyjnych oraz stanowić ustandaryzowane rozwiązania systemowe. Zamawiający nie dopuszcza mieszania różnych systemów bądź wykorzystania elementów niesystemowych do montażu elementów, stanowiących spójny system montażowy.</w:t>
      </w:r>
    </w:p>
    <w:p w14:paraId="48C6016F" w14:textId="77777777" w:rsidR="00820BAF" w:rsidRPr="00A94430" w:rsidRDefault="00820BAF" w:rsidP="00A41FC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94430">
        <w:rPr>
          <w:rFonts w:ascii="Calibri" w:hAnsi="Calibri" w:cs="Calibri"/>
          <w:sz w:val="20"/>
          <w:szCs w:val="20"/>
        </w:rPr>
        <w:t>Wszystkie wbudowywane materiały należy każdorazowo uzgodnić z Zamawiającym i uzyskać aprobatę Zamawiającego, szczególnie w zakresie ich kolorystyki, faktury i tekstury.</w:t>
      </w:r>
    </w:p>
    <w:p w14:paraId="6F31CAC6" w14:textId="77777777" w:rsidR="00820BAF" w:rsidRPr="00A94430" w:rsidRDefault="00820BAF" w:rsidP="00A41FC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94430">
        <w:rPr>
          <w:rFonts w:ascii="Calibri" w:hAnsi="Calibri" w:cs="Calibri"/>
          <w:sz w:val="20"/>
          <w:szCs w:val="20"/>
        </w:rPr>
        <w:t>Zastosowane elementy metalowe muszą być odporne na korozję (nierdzewne).</w:t>
      </w:r>
    </w:p>
    <w:p w14:paraId="44BA758E" w14:textId="77777777" w:rsidR="00C1310D" w:rsidRPr="00A94430" w:rsidRDefault="00C1310D" w:rsidP="00A41FC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15310F7" w14:textId="6FCCAFCB" w:rsidR="00820BAF" w:rsidRPr="00A94430" w:rsidRDefault="00820BAF" w:rsidP="00A41FC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94430">
        <w:rPr>
          <w:rFonts w:ascii="Calibri" w:hAnsi="Calibri" w:cs="Calibri"/>
          <w:sz w:val="20"/>
          <w:szCs w:val="20"/>
        </w:rPr>
        <w:t>Szczegółowy opis przedmiotu zamówienia stanowi przedmiar.</w:t>
      </w:r>
    </w:p>
    <w:p w14:paraId="5F74538A" w14:textId="0B1F78AF" w:rsidR="00820BAF" w:rsidRPr="00A94430" w:rsidRDefault="00820BAF" w:rsidP="00A41FC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sectPr w:rsidR="00820BAF" w:rsidRPr="00A9443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409AE" w14:textId="77777777" w:rsidR="00A94430" w:rsidRDefault="00A94430" w:rsidP="00A94430">
      <w:pPr>
        <w:spacing w:after="0" w:line="240" w:lineRule="auto"/>
      </w:pPr>
      <w:r>
        <w:separator/>
      </w:r>
    </w:p>
  </w:endnote>
  <w:endnote w:type="continuationSeparator" w:id="0">
    <w:p w14:paraId="0E111425" w14:textId="77777777" w:rsidR="00A94430" w:rsidRDefault="00A94430" w:rsidP="00A94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3F239" w14:textId="77777777" w:rsidR="00A94430" w:rsidRDefault="00A94430" w:rsidP="00A94430">
      <w:pPr>
        <w:spacing w:after="0" w:line="240" w:lineRule="auto"/>
      </w:pPr>
      <w:r>
        <w:separator/>
      </w:r>
    </w:p>
  </w:footnote>
  <w:footnote w:type="continuationSeparator" w:id="0">
    <w:p w14:paraId="4A855F7D" w14:textId="77777777" w:rsidR="00A94430" w:rsidRDefault="00A94430" w:rsidP="00A94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3FBA5" w14:textId="77777777" w:rsidR="00A94430" w:rsidRPr="00A94430" w:rsidRDefault="00A94430" w:rsidP="00A94430">
    <w:pPr>
      <w:tabs>
        <w:tab w:val="center" w:pos="4536"/>
        <w:tab w:val="right" w:pos="9072"/>
      </w:tabs>
      <w:spacing w:after="0" w:line="240" w:lineRule="auto"/>
      <w:jc w:val="both"/>
      <w:rPr>
        <w:rFonts w:ascii="Calibri" w:eastAsia="Times New Roman" w:hAnsi="Calibri" w:cs="Calibri"/>
        <w:b/>
        <w:kern w:val="0"/>
        <w:sz w:val="16"/>
        <w:szCs w:val="16"/>
        <w:lang w:eastAsia="pl-PL"/>
        <w14:ligatures w14:val="none"/>
      </w:rPr>
    </w:pPr>
    <w:bookmarkStart w:id="0" w:name="_Hlk148597075"/>
    <w:bookmarkStart w:id="1" w:name="_Hlk187312948"/>
    <w:bookmarkStart w:id="2" w:name="_Hlk187312949"/>
    <w:r w:rsidRPr="00A94430">
      <w:rPr>
        <w:rFonts w:ascii="Calibri" w:eastAsia="Times New Roman" w:hAnsi="Calibri" w:cs="Calibri"/>
        <w:b/>
        <w:kern w:val="0"/>
        <w:sz w:val="16"/>
        <w:szCs w:val="16"/>
        <w:lang w:eastAsia="pl-PL"/>
        <w14:ligatures w14:val="none"/>
      </w:rPr>
      <w:t>BPN-T.271.1.223.2025</w:t>
    </w:r>
  </w:p>
  <w:p w14:paraId="0959D7FD" w14:textId="77777777" w:rsidR="00A94430" w:rsidRPr="00A94430" w:rsidRDefault="00A94430" w:rsidP="00A94430">
    <w:pPr>
      <w:tabs>
        <w:tab w:val="center" w:pos="4536"/>
        <w:tab w:val="right" w:pos="9072"/>
      </w:tabs>
      <w:spacing w:after="0" w:line="240" w:lineRule="auto"/>
      <w:jc w:val="both"/>
      <w:rPr>
        <w:rFonts w:ascii="Calibri" w:eastAsia="Times New Roman" w:hAnsi="Calibri" w:cs="Calibri"/>
        <w:kern w:val="0"/>
        <w:sz w:val="16"/>
        <w:szCs w:val="16"/>
        <w:lang w:eastAsia="pl-PL"/>
        <w14:ligatures w14:val="none"/>
      </w:rPr>
    </w:pPr>
    <w:r w:rsidRPr="00A94430">
      <w:rPr>
        <w:rFonts w:ascii="Calibri" w:eastAsia="Times New Roman" w:hAnsi="Calibri" w:cs="Calibri"/>
        <w:kern w:val="0"/>
        <w:sz w:val="16"/>
        <w:szCs w:val="16"/>
        <w:lang w:eastAsia="pl-PL"/>
        <w14:ligatures w14:val="none"/>
      </w:rPr>
      <w:t>„Kompleksowa naprawa zadaszeń wejść do budynku Centrum Technologicznego Białostockiego Parku Naukowo-Technologicznego od strony północnej (wejście do pomieszczeń technicznych) i od strony zachodniej (wejście do kompleksu laboratoryjnego)”</w:t>
    </w:r>
  </w:p>
  <w:bookmarkEnd w:id="0"/>
  <w:p w14:paraId="752C8C4A" w14:textId="6A110CFD" w:rsidR="00A94430" w:rsidRPr="00A94430" w:rsidRDefault="00A94430" w:rsidP="00A94430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Calibri"/>
        <w:kern w:val="0"/>
        <w:sz w:val="16"/>
        <w:szCs w:val="16"/>
        <w:lang w:eastAsia="pl-PL"/>
        <w14:ligatures w14:val="none"/>
      </w:rPr>
    </w:pPr>
    <w:r w:rsidRPr="00A94430">
      <w:rPr>
        <w:rFonts w:ascii="Calibri" w:eastAsia="Times New Roman" w:hAnsi="Calibri" w:cs="Calibri"/>
        <w:noProof/>
        <w:kern w:val="0"/>
        <w:sz w:val="20"/>
        <w:lang w:eastAsia="pl-PL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2B32F7" wp14:editId="354EF2E4">
              <wp:simplePos x="0" y="0"/>
              <wp:positionH relativeFrom="margin">
                <wp:posOffset>0</wp:posOffset>
              </wp:positionH>
              <wp:positionV relativeFrom="paragraph">
                <wp:posOffset>13335</wp:posOffset>
              </wp:positionV>
              <wp:extent cx="6044400" cy="0"/>
              <wp:effectExtent l="0" t="0" r="0" b="0"/>
              <wp:wrapNone/>
              <wp:docPr id="179434208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4400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CA85C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.05pt" to="475.9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fiUvQEAAGADAAAOAAAAZHJzL2Uyb0RvYy54bWysU8Fu2zAMvQ/YPwi6L3a6rCiEOD2k7S7d&#10;FqDdBzCSbAuVREFS4+TvR6mJV2y3YT4Qokg+PT7S69ujs+ygYzLoO75ctJxpL1EZP3T85/PDpxvO&#10;UgavwKLXHT/pxG83Hz+spyD0FY5olY6MQHwSU+j4mHMQTZPkqB2kBQbtKdhjdJDJjUOjIkyE7mxz&#10;1bbXzYRRhYhSp0S3d29Bvqn4fa9l/tH3SWdmO07ccrWx2n2xzWYNYogQRiPPNOAfWDgwnh6doe4g&#10;A3uN5i8oZ2TEhH1eSHQN9r2RuvZA3SzbP7p5GiHo2guJk8IsU/p/sPL7Yet3sVCXR/8UHlG+JOZx&#10;O4IfdCXwfAo0uGWRqplCEnNJcVLYRbafvqGiHHjNWFU49tEVSOqPHavYp1lsfcxM0uV1u1qtWpqJ&#10;vMQaEJfCEFP+qtGxcui4Nb7oAAIOjykXIiAuKeXa44Oxts7SejYR+OcvhAx2oKWUOdbahNaoklcq&#10;Uhz2WxvZAcpi1K82SJH3ac5kWk9rXMdv5iQQowZ171V9MIOxb2ciZf1ZpKJLWcIk9qhOu3gRj8ZY&#10;2Z9XruzJe79W//4xNr8AAAD//wMAUEsDBBQABgAIAAAAIQAJYon+2QAAAAQBAAAPAAAAZHJzL2Rv&#10;d25yZXYueG1sTI/BTsMwEETvSPyDtUjcqJNK0DbEqRASByQkIHDg6MbbOG28DrabhL9n4QLH0aze&#10;vC23s+vFiCF2nhTkiwwEUuNNR62C97eHqzWImDQZ3XtCBV8YYVudn5W6MH6iVxzr1AqGUCy0ApvS&#10;UEgZG4tOx4UfkLjb++B04hhaaYKeGO56ucyyG+l0R7xg9YD3FptjfXJModXnfu7Dx8vzk13X0wEf&#10;xxUqdXkx392CSDinv2P40Wd1qNhp509kougV8CNJwTIHweXmOt+A2P1mWZXyv3z1DQAA//8DAFBL&#10;AQItABQABgAIAAAAIQC2gziS/gAAAOEBAAATAAAAAAAAAAAAAAAAAAAAAABbQ29udGVudF9UeXBl&#10;c10ueG1sUEsBAi0AFAAGAAgAAAAhADj9If/WAAAAlAEAAAsAAAAAAAAAAAAAAAAALwEAAF9yZWxz&#10;Ly5yZWxzUEsBAi0AFAAGAAgAAAAhAKmB+JS9AQAAYAMAAA4AAAAAAAAAAAAAAAAALgIAAGRycy9l&#10;Mm9Eb2MueG1sUEsBAi0AFAAGAAgAAAAhAAliif7ZAAAABAEAAA8AAAAAAAAAAAAAAAAAFwQAAGRy&#10;cy9kb3ducmV2LnhtbFBLBQYAAAAABAAEAPMAAAAdBQAAAAA=&#10;" strokeweight=".5pt">
              <v:stroke joinstyle="miter"/>
              <w10:wrap anchorx="margin"/>
            </v:line>
          </w:pict>
        </mc:Fallback>
      </mc:AlternateConten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03"/>
    <w:rsid w:val="00365B2A"/>
    <w:rsid w:val="003C7303"/>
    <w:rsid w:val="00606932"/>
    <w:rsid w:val="007D49A2"/>
    <w:rsid w:val="00820BAF"/>
    <w:rsid w:val="00A41FC2"/>
    <w:rsid w:val="00A94430"/>
    <w:rsid w:val="00C1310D"/>
    <w:rsid w:val="00D21622"/>
    <w:rsid w:val="00FC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74F6F"/>
  <w15:chartTrackingRefBased/>
  <w15:docId w15:val="{24EBE4AC-0B7E-42B6-B04A-B76E0740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7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7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7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7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7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7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7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7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7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7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73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73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73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73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73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3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73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7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7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7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7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7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73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73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73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7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73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730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4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430"/>
  </w:style>
  <w:style w:type="paragraph" w:styleId="Stopka">
    <w:name w:val="footer"/>
    <w:basedOn w:val="Normalny"/>
    <w:link w:val="StopkaZnak"/>
    <w:uiPriority w:val="99"/>
    <w:unhideWhenUsed/>
    <w:rsid w:val="00A94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65C188-E1FF-4F25-B6D3-EE2F4B7257BD}"/>
</file>

<file path=customXml/itemProps2.xml><?xml version="1.0" encoding="utf-8"?>
<ds:datastoreItem xmlns:ds="http://schemas.openxmlformats.org/officeDocument/2006/customXml" ds:itemID="{83D86457-4AA5-4037-95AE-EBB8D1670FF5}"/>
</file>

<file path=customXml/itemProps3.xml><?xml version="1.0" encoding="utf-8"?>
<ds:datastoreItem xmlns:ds="http://schemas.openxmlformats.org/officeDocument/2006/customXml" ds:itemID="{792CAD6D-2999-4826-835A-417738D3D7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BPN-T.271.1.223.2025 - ZAŁĄCZNIK NR 2 (OPZ).docx</dc:title>
  <dc:subject/>
  <dc:creator>Sławomir Szymborski</dc:creator>
  <cp:keywords/>
  <dc:description/>
  <cp:lastModifiedBy>Paulina Kot</cp:lastModifiedBy>
  <cp:revision>4</cp:revision>
  <dcterms:created xsi:type="dcterms:W3CDTF">2025-09-18T05:52:00Z</dcterms:created>
  <dcterms:modified xsi:type="dcterms:W3CDTF">2025-09-19T07:40:00Z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