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4765" w14:textId="208C27E1" w:rsidR="00723AD5" w:rsidRPr="00EB1CF7" w:rsidRDefault="00723AD5" w:rsidP="00723AD5">
      <w:pPr>
        <w:spacing w:after="0" w:line="240" w:lineRule="auto"/>
        <w:jc w:val="right"/>
        <w:rPr>
          <w:rFonts w:ascii="Calibri" w:hAnsi="Calibri" w:cs="Calibri"/>
          <w:b/>
          <w:bCs/>
          <w:sz w:val="20"/>
          <w:szCs w:val="20"/>
          <w:u w:val="single"/>
        </w:rPr>
      </w:pPr>
      <w:r w:rsidRPr="00EB1CF7">
        <w:rPr>
          <w:rFonts w:ascii="Calibri" w:hAnsi="Calibri" w:cs="Calibri"/>
          <w:b/>
          <w:bCs/>
          <w:sz w:val="20"/>
          <w:szCs w:val="20"/>
          <w:u w:val="single"/>
        </w:rPr>
        <w:t xml:space="preserve">Załącznik nr </w:t>
      </w:r>
      <w:r w:rsidR="009B659D" w:rsidRPr="00EB1CF7">
        <w:rPr>
          <w:rFonts w:ascii="Calibri" w:hAnsi="Calibri" w:cs="Calibri"/>
          <w:b/>
          <w:bCs/>
          <w:sz w:val="20"/>
          <w:szCs w:val="20"/>
          <w:u w:val="single"/>
        </w:rPr>
        <w:t>2</w:t>
      </w:r>
    </w:p>
    <w:p w14:paraId="1192DE6F" w14:textId="77777777" w:rsidR="00723AD5" w:rsidRPr="009B659D" w:rsidRDefault="00723AD5" w:rsidP="00723AD5">
      <w:pPr>
        <w:spacing w:after="0" w:line="240" w:lineRule="auto"/>
        <w:jc w:val="center"/>
        <w:rPr>
          <w:rFonts w:ascii="Calibri" w:hAnsi="Calibri" w:cs="Calibri"/>
          <w:b/>
          <w:bCs/>
          <w:sz w:val="20"/>
          <w:szCs w:val="20"/>
        </w:rPr>
      </w:pPr>
    </w:p>
    <w:p w14:paraId="263706ED" w14:textId="7D3EC654" w:rsidR="00723AD5" w:rsidRPr="009B659D" w:rsidRDefault="00723AD5" w:rsidP="00723AD5">
      <w:pPr>
        <w:spacing w:after="0" w:line="240" w:lineRule="auto"/>
        <w:jc w:val="center"/>
        <w:rPr>
          <w:rFonts w:ascii="Calibri" w:hAnsi="Calibri" w:cs="Calibri"/>
          <w:b/>
          <w:bCs/>
          <w:sz w:val="20"/>
          <w:szCs w:val="20"/>
        </w:rPr>
      </w:pPr>
      <w:r w:rsidRPr="009B659D">
        <w:rPr>
          <w:rFonts w:ascii="Calibri" w:hAnsi="Calibri" w:cs="Calibri"/>
          <w:b/>
          <w:bCs/>
          <w:sz w:val="20"/>
          <w:szCs w:val="20"/>
        </w:rPr>
        <w:t>OPIS PRZEDMIOTU ZAMÓWIENIA</w:t>
      </w:r>
    </w:p>
    <w:p w14:paraId="2811735D" w14:textId="29B89863" w:rsidR="00723AD5" w:rsidRPr="009B659D" w:rsidRDefault="00723AD5" w:rsidP="009B659D">
      <w:pPr>
        <w:spacing w:after="0" w:line="240" w:lineRule="auto"/>
        <w:jc w:val="center"/>
        <w:rPr>
          <w:rFonts w:ascii="Calibri" w:hAnsi="Calibri" w:cs="Calibri"/>
          <w:b/>
          <w:bCs/>
          <w:sz w:val="20"/>
          <w:szCs w:val="20"/>
        </w:rPr>
      </w:pPr>
      <w:r w:rsidRPr="009B659D">
        <w:rPr>
          <w:rFonts w:ascii="Calibri" w:hAnsi="Calibri" w:cs="Calibri"/>
          <w:b/>
          <w:bCs/>
          <w:sz w:val="20"/>
          <w:szCs w:val="20"/>
        </w:rPr>
        <w:t>„</w:t>
      </w:r>
      <w:r w:rsidR="004E0271" w:rsidRPr="009B659D">
        <w:rPr>
          <w:rFonts w:ascii="Calibri" w:hAnsi="Calibri" w:cs="Calibri"/>
          <w:b/>
          <w:bCs/>
          <w:sz w:val="20"/>
          <w:szCs w:val="20"/>
        </w:rPr>
        <w:t>Opracowanie dokumentacji technicznej Stałego Urządzenia Gaśniczego pomieszczeń technicznych w budynkach Inkubatora i Centrum Białostockiego Parku Naukowo-Technologicznego</w:t>
      </w:r>
      <w:r w:rsidRPr="009B659D">
        <w:rPr>
          <w:rFonts w:ascii="Calibri" w:hAnsi="Calibri" w:cs="Calibri"/>
          <w:b/>
          <w:bCs/>
          <w:sz w:val="20"/>
          <w:szCs w:val="20"/>
        </w:rPr>
        <w:t>”</w:t>
      </w:r>
    </w:p>
    <w:p w14:paraId="2CD86B70" w14:textId="77777777" w:rsidR="00723AD5" w:rsidRPr="009B659D" w:rsidRDefault="00723AD5" w:rsidP="00723AD5">
      <w:pPr>
        <w:spacing w:after="0" w:line="240" w:lineRule="auto"/>
        <w:jc w:val="center"/>
        <w:rPr>
          <w:rFonts w:ascii="Calibri" w:hAnsi="Calibri" w:cs="Calibri"/>
          <w:b/>
          <w:bCs/>
          <w:sz w:val="20"/>
          <w:szCs w:val="20"/>
        </w:rPr>
      </w:pPr>
    </w:p>
    <w:p w14:paraId="43030F9A" w14:textId="77777777" w:rsidR="00723AD5" w:rsidRPr="009B659D" w:rsidRDefault="00723AD5" w:rsidP="00A571C4">
      <w:pPr>
        <w:spacing w:after="0" w:line="240" w:lineRule="auto"/>
        <w:jc w:val="both"/>
        <w:rPr>
          <w:rFonts w:ascii="Calibri" w:hAnsi="Calibri" w:cs="Calibri"/>
          <w:sz w:val="20"/>
          <w:szCs w:val="20"/>
        </w:rPr>
      </w:pPr>
    </w:p>
    <w:p w14:paraId="1AD0078F" w14:textId="74FCA8CB" w:rsidR="00163477" w:rsidRPr="009B659D" w:rsidRDefault="00163477" w:rsidP="00A571C4">
      <w:pPr>
        <w:spacing w:after="0" w:line="240" w:lineRule="auto"/>
        <w:jc w:val="both"/>
        <w:rPr>
          <w:rFonts w:ascii="Calibri" w:hAnsi="Calibri" w:cs="Calibri"/>
          <w:sz w:val="20"/>
          <w:szCs w:val="20"/>
        </w:rPr>
      </w:pPr>
      <w:r w:rsidRPr="009B659D">
        <w:rPr>
          <w:rFonts w:ascii="Calibri" w:hAnsi="Calibri" w:cs="Calibri"/>
          <w:sz w:val="20"/>
          <w:szCs w:val="20"/>
        </w:rPr>
        <w:t>Przedmiotem zamówienia jest wykonanie kompletnej i spójnej dokumentacji systemu</w:t>
      </w:r>
      <w:r w:rsidR="00D83A1D" w:rsidRPr="009B659D">
        <w:rPr>
          <w:rFonts w:ascii="Calibri" w:hAnsi="Calibri" w:cs="Calibri"/>
          <w:sz w:val="20"/>
          <w:szCs w:val="20"/>
        </w:rPr>
        <w:t xml:space="preserve"> Stałe</w:t>
      </w:r>
      <w:r w:rsidR="004E0271" w:rsidRPr="009B659D">
        <w:rPr>
          <w:rFonts w:ascii="Calibri" w:hAnsi="Calibri" w:cs="Calibri"/>
          <w:sz w:val="20"/>
          <w:szCs w:val="20"/>
        </w:rPr>
        <w:t>go</w:t>
      </w:r>
      <w:r w:rsidR="00D83A1D" w:rsidRPr="009B659D">
        <w:rPr>
          <w:rFonts w:ascii="Calibri" w:hAnsi="Calibri" w:cs="Calibri"/>
          <w:sz w:val="20"/>
          <w:szCs w:val="20"/>
        </w:rPr>
        <w:t xml:space="preserve"> Urządzeni</w:t>
      </w:r>
      <w:r w:rsidR="004E0271" w:rsidRPr="009B659D">
        <w:rPr>
          <w:rFonts w:ascii="Calibri" w:hAnsi="Calibri" w:cs="Calibri"/>
          <w:sz w:val="20"/>
          <w:szCs w:val="20"/>
        </w:rPr>
        <w:t>a</w:t>
      </w:r>
      <w:r w:rsidR="00D83A1D" w:rsidRPr="009B659D">
        <w:rPr>
          <w:rFonts w:ascii="Calibri" w:hAnsi="Calibri" w:cs="Calibri"/>
          <w:sz w:val="20"/>
          <w:szCs w:val="20"/>
        </w:rPr>
        <w:t xml:space="preserve"> Gaśnicze</w:t>
      </w:r>
      <w:r w:rsidR="004E0271" w:rsidRPr="009B659D">
        <w:rPr>
          <w:rFonts w:ascii="Calibri" w:hAnsi="Calibri" w:cs="Calibri"/>
          <w:sz w:val="20"/>
          <w:szCs w:val="20"/>
        </w:rPr>
        <w:t>go</w:t>
      </w:r>
      <w:r w:rsidR="00D83A1D" w:rsidRPr="009B659D">
        <w:rPr>
          <w:rFonts w:ascii="Calibri" w:hAnsi="Calibri" w:cs="Calibri"/>
          <w:sz w:val="20"/>
          <w:szCs w:val="20"/>
        </w:rPr>
        <w:t xml:space="preserve"> (zwane dalej „SUG”),</w:t>
      </w:r>
      <w:r w:rsidRPr="009B659D">
        <w:rPr>
          <w:rFonts w:ascii="Calibri" w:hAnsi="Calibri" w:cs="Calibri"/>
          <w:sz w:val="20"/>
          <w:szCs w:val="20"/>
        </w:rPr>
        <w:t xml:space="preserve"> </w:t>
      </w:r>
      <w:r w:rsidR="004E0271" w:rsidRPr="009B659D">
        <w:rPr>
          <w:rFonts w:ascii="Calibri" w:hAnsi="Calibri" w:cs="Calibri"/>
          <w:sz w:val="20"/>
          <w:szCs w:val="20"/>
        </w:rPr>
        <w:t xml:space="preserve">wraz z pełnieniem nadzoru autorskiego, </w:t>
      </w:r>
      <w:r w:rsidRPr="009B659D">
        <w:rPr>
          <w:rFonts w:ascii="Calibri" w:hAnsi="Calibri" w:cs="Calibri"/>
          <w:sz w:val="20"/>
          <w:szCs w:val="20"/>
        </w:rPr>
        <w:t>służącej do udzielenia na jej podstawie zamówienia publicznego na wykonanie i realizację prac, objętych opracowaną dokumentacją, kwalifikowanych jako "przebudowa" w rozumieniu art. 3 pkt 7A ustawy z dnia 7 lipca 1994 roku Prawo budowlane (</w:t>
      </w:r>
      <w:proofErr w:type="spellStart"/>
      <w:r w:rsidR="00744865" w:rsidRPr="00744865">
        <w:rPr>
          <w:rFonts w:ascii="Calibri" w:hAnsi="Calibri" w:cs="Calibri"/>
          <w:sz w:val="20"/>
          <w:szCs w:val="20"/>
        </w:rPr>
        <w:t>t.j</w:t>
      </w:r>
      <w:proofErr w:type="spellEnd"/>
      <w:r w:rsidR="00744865" w:rsidRPr="00744865">
        <w:rPr>
          <w:rFonts w:ascii="Calibri" w:hAnsi="Calibri" w:cs="Calibri"/>
          <w:sz w:val="20"/>
          <w:szCs w:val="20"/>
        </w:rPr>
        <w:t xml:space="preserve">. Dz. U. z 2024 r. poz. 725 z </w:t>
      </w:r>
      <w:proofErr w:type="spellStart"/>
      <w:r w:rsidR="00744865" w:rsidRPr="00744865">
        <w:rPr>
          <w:rFonts w:ascii="Calibri" w:hAnsi="Calibri" w:cs="Calibri"/>
          <w:sz w:val="20"/>
          <w:szCs w:val="20"/>
        </w:rPr>
        <w:t>późn</w:t>
      </w:r>
      <w:proofErr w:type="spellEnd"/>
      <w:r w:rsidR="00744865" w:rsidRPr="00744865">
        <w:rPr>
          <w:rFonts w:ascii="Calibri" w:hAnsi="Calibri" w:cs="Calibri"/>
          <w:sz w:val="20"/>
          <w:szCs w:val="20"/>
        </w:rPr>
        <w:t>. zm.</w:t>
      </w:r>
      <w:r w:rsidRPr="009B659D">
        <w:rPr>
          <w:rFonts w:ascii="Calibri" w:hAnsi="Calibri" w:cs="Calibri"/>
          <w:sz w:val="20"/>
          <w:szCs w:val="20"/>
        </w:rPr>
        <w:t>), nazywanej dalej "DOKUMENTACJĄ", w niektórych pomieszczeniach technicznych Białostockiego Parku Naukowo-Technologicznego przy ul. Żurawiej 71 w Białymstoku.</w:t>
      </w:r>
    </w:p>
    <w:p w14:paraId="39BEC634" w14:textId="77777777" w:rsidR="00163477" w:rsidRPr="009B659D" w:rsidRDefault="00163477" w:rsidP="00A571C4">
      <w:pPr>
        <w:spacing w:after="0" w:line="240" w:lineRule="auto"/>
        <w:jc w:val="both"/>
        <w:rPr>
          <w:rFonts w:ascii="Calibri" w:hAnsi="Calibri" w:cs="Calibri"/>
          <w:sz w:val="20"/>
          <w:szCs w:val="20"/>
        </w:rPr>
      </w:pPr>
    </w:p>
    <w:p w14:paraId="66C6852A" w14:textId="73B2767E" w:rsidR="00163477" w:rsidRPr="009B659D" w:rsidRDefault="00163477" w:rsidP="00A571C4">
      <w:pPr>
        <w:spacing w:after="0" w:line="240" w:lineRule="auto"/>
        <w:jc w:val="both"/>
        <w:rPr>
          <w:rFonts w:ascii="Calibri" w:hAnsi="Calibri" w:cs="Calibri"/>
          <w:sz w:val="20"/>
          <w:szCs w:val="20"/>
        </w:rPr>
      </w:pPr>
      <w:r w:rsidRPr="009B659D">
        <w:rPr>
          <w:rFonts w:ascii="Calibri" w:hAnsi="Calibri" w:cs="Calibri"/>
          <w:sz w:val="20"/>
          <w:szCs w:val="20"/>
        </w:rPr>
        <w:t>Minimalny zakres "DOKUMENTACJI" w rozumieniu zgodnym z treścią art. 103 ust. 1 ustawy z dnia 11 września 2019 roku Prawo zamówień publicznych (</w:t>
      </w:r>
      <w:proofErr w:type="spellStart"/>
      <w:r w:rsidR="003F2FCC">
        <w:rPr>
          <w:rFonts w:ascii="Calibri" w:hAnsi="Calibri" w:cs="Calibri"/>
          <w:sz w:val="20"/>
          <w:szCs w:val="20"/>
        </w:rPr>
        <w:t>t.j</w:t>
      </w:r>
      <w:proofErr w:type="spellEnd"/>
      <w:r w:rsidR="003F2FCC">
        <w:rPr>
          <w:rFonts w:ascii="Calibri" w:hAnsi="Calibri" w:cs="Calibri"/>
          <w:sz w:val="20"/>
          <w:szCs w:val="20"/>
        </w:rPr>
        <w:t xml:space="preserve">. </w:t>
      </w:r>
      <w:r w:rsidRPr="009B659D">
        <w:rPr>
          <w:rFonts w:ascii="Calibri" w:hAnsi="Calibri" w:cs="Calibri"/>
          <w:sz w:val="20"/>
          <w:szCs w:val="20"/>
        </w:rPr>
        <w:t>Dz.U. 202</w:t>
      </w:r>
      <w:r w:rsidR="006A245F" w:rsidRPr="009B659D">
        <w:rPr>
          <w:rFonts w:ascii="Calibri" w:hAnsi="Calibri" w:cs="Calibri"/>
          <w:sz w:val="20"/>
          <w:szCs w:val="20"/>
        </w:rPr>
        <w:t>4</w:t>
      </w:r>
      <w:r w:rsidRPr="009B659D">
        <w:rPr>
          <w:rFonts w:ascii="Calibri" w:hAnsi="Calibri" w:cs="Calibri"/>
          <w:sz w:val="20"/>
          <w:szCs w:val="20"/>
        </w:rPr>
        <w:t xml:space="preserve"> </w:t>
      </w:r>
      <w:r w:rsidR="003F2FCC">
        <w:rPr>
          <w:rFonts w:ascii="Calibri" w:hAnsi="Calibri" w:cs="Calibri"/>
          <w:sz w:val="20"/>
          <w:szCs w:val="20"/>
        </w:rPr>
        <w:t xml:space="preserve">r. </w:t>
      </w:r>
      <w:r w:rsidRPr="009B659D">
        <w:rPr>
          <w:rFonts w:ascii="Calibri" w:hAnsi="Calibri" w:cs="Calibri"/>
          <w:sz w:val="20"/>
          <w:szCs w:val="20"/>
        </w:rPr>
        <w:t>poz. 1</w:t>
      </w:r>
      <w:r w:rsidR="006A245F" w:rsidRPr="009B659D">
        <w:rPr>
          <w:rFonts w:ascii="Calibri" w:hAnsi="Calibri" w:cs="Calibri"/>
          <w:sz w:val="20"/>
          <w:szCs w:val="20"/>
        </w:rPr>
        <w:t>320</w:t>
      </w:r>
      <w:r w:rsidRPr="009B659D">
        <w:rPr>
          <w:rFonts w:ascii="Calibri" w:hAnsi="Calibri" w:cs="Calibri"/>
          <w:sz w:val="20"/>
          <w:szCs w:val="20"/>
        </w:rPr>
        <w:t>), jaką należy sporządzić w ramach przedmiotu zamówienia obejmuje:</w:t>
      </w:r>
    </w:p>
    <w:p w14:paraId="4ACDF27D" w14:textId="2EED1124" w:rsidR="00163477" w:rsidRPr="009B659D" w:rsidRDefault="00163477" w:rsidP="00A571C4">
      <w:pPr>
        <w:pStyle w:val="Akapitzlist"/>
        <w:numPr>
          <w:ilvl w:val="0"/>
          <w:numId w:val="1"/>
        </w:numPr>
        <w:spacing w:after="0" w:line="240" w:lineRule="auto"/>
        <w:ind w:left="284" w:hanging="284"/>
        <w:jc w:val="both"/>
        <w:rPr>
          <w:rFonts w:ascii="Calibri" w:hAnsi="Calibri" w:cs="Calibri"/>
          <w:sz w:val="20"/>
          <w:szCs w:val="20"/>
        </w:rPr>
      </w:pPr>
      <w:r w:rsidRPr="009B659D">
        <w:rPr>
          <w:rFonts w:ascii="Calibri" w:hAnsi="Calibri" w:cs="Calibri"/>
          <w:sz w:val="20"/>
          <w:szCs w:val="20"/>
        </w:rPr>
        <w:t>kompletny projekt budowlany w zakresie uwzględniającym specyfikę robót budowlanych,</w:t>
      </w:r>
    </w:p>
    <w:p w14:paraId="59DC7C8D" w14:textId="19BA1F1B" w:rsidR="00163477" w:rsidRPr="009B659D" w:rsidRDefault="00163477" w:rsidP="00A571C4">
      <w:pPr>
        <w:pStyle w:val="Akapitzlist"/>
        <w:numPr>
          <w:ilvl w:val="0"/>
          <w:numId w:val="1"/>
        </w:numPr>
        <w:spacing w:after="0" w:line="240" w:lineRule="auto"/>
        <w:ind w:left="284" w:hanging="284"/>
        <w:jc w:val="both"/>
        <w:rPr>
          <w:rFonts w:ascii="Calibri" w:hAnsi="Calibri" w:cs="Calibri"/>
          <w:sz w:val="20"/>
          <w:szCs w:val="20"/>
        </w:rPr>
      </w:pPr>
      <w:r w:rsidRPr="009B659D">
        <w:rPr>
          <w:rFonts w:ascii="Calibri" w:hAnsi="Calibri" w:cs="Calibri"/>
          <w:sz w:val="20"/>
          <w:szCs w:val="20"/>
        </w:rPr>
        <w:t>szczegółowe, kompletne i spójne projekty wykonawcze, stanowiące uzupełnienie i uszczegółowienie projektu budowlanego w zakresie i stopniu dokładności niezbędnych do sporządzenia przedmiaru robót, kosztorysu inwestorskiego, przygotowania oferty przez Wykonawcę i niezakłóconej, prawidłowej realizacji robót budowlanych,</w:t>
      </w:r>
    </w:p>
    <w:p w14:paraId="7AA31093" w14:textId="20FFA784" w:rsidR="00163477" w:rsidRPr="009B659D" w:rsidRDefault="00163477" w:rsidP="00A571C4">
      <w:pPr>
        <w:pStyle w:val="Akapitzlist"/>
        <w:numPr>
          <w:ilvl w:val="0"/>
          <w:numId w:val="1"/>
        </w:numPr>
        <w:spacing w:after="0" w:line="240" w:lineRule="auto"/>
        <w:ind w:left="284" w:hanging="284"/>
        <w:jc w:val="both"/>
        <w:rPr>
          <w:rFonts w:ascii="Calibri" w:hAnsi="Calibri" w:cs="Calibri"/>
          <w:sz w:val="20"/>
          <w:szCs w:val="20"/>
        </w:rPr>
      </w:pPr>
      <w:r w:rsidRPr="009B659D">
        <w:rPr>
          <w:rFonts w:ascii="Calibri" w:hAnsi="Calibri" w:cs="Calibri"/>
          <w:sz w:val="20"/>
          <w:szCs w:val="20"/>
        </w:rPr>
        <w:t>szczegółowy przedmiar robót w zakresie, zawierającym zestawienie przewidywanych do wykonania robót podstawowych w kolejności technologicznej ich wykonania wraz z ich szczegółowym opisem lub ze wskazaniem podstaw ustalających szczegółowy opis oraz wraz ze wskazaniem właściwych specyfikacji technicznych wykonania i odbioru robót budowlanych, a także z obliczeniem i zestawieniem liczby jednostek przedmiarowych robót podstawowych,</w:t>
      </w:r>
    </w:p>
    <w:p w14:paraId="5CBFD20F" w14:textId="587B146D" w:rsidR="00163477" w:rsidRPr="009B659D" w:rsidRDefault="00163477" w:rsidP="00A571C4">
      <w:pPr>
        <w:pStyle w:val="Akapitzlist"/>
        <w:numPr>
          <w:ilvl w:val="0"/>
          <w:numId w:val="1"/>
        </w:numPr>
        <w:spacing w:after="0" w:line="240" w:lineRule="auto"/>
        <w:ind w:left="284" w:hanging="284"/>
        <w:jc w:val="both"/>
        <w:rPr>
          <w:rFonts w:ascii="Calibri" w:hAnsi="Calibri" w:cs="Calibri"/>
          <w:sz w:val="20"/>
          <w:szCs w:val="20"/>
        </w:rPr>
      </w:pPr>
      <w:r w:rsidRPr="009B659D">
        <w:rPr>
          <w:rFonts w:ascii="Calibri" w:hAnsi="Calibri" w:cs="Calibri"/>
          <w:sz w:val="20"/>
          <w:szCs w:val="20"/>
        </w:rPr>
        <w:t>szczegółowy kosztorys inwestorski, określający wartość kosztorysową robót, stanowiącą podstawę ustalenia wartości zamówienia publicznego,</w:t>
      </w:r>
    </w:p>
    <w:p w14:paraId="45EA70A0" w14:textId="7415B3B7" w:rsidR="00163477" w:rsidRPr="009B659D" w:rsidRDefault="00163477" w:rsidP="00A571C4">
      <w:pPr>
        <w:pStyle w:val="Akapitzlist"/>
        <w:numPr>
          <w:ilvl w:val="0"/>
          <w:numId w:val="1"/>
        </w:numPr>
        <w:spacing w:after="0" w:line="240" w:lineRule="auto"/>
        <w:ind w:left="284" w:hanging="284"/>
        <w:jc w:val="both"/>
        <w:rPr>
          <w:rFonts w:ascii="Calibri" w:hAnsi="Calibri" w:cs="Calibri"/>
          <w:sz w:val="20"/>
          <w:szCs w:val="20"/>
        </w:rPr>
      </w:pPr>
      <w:r w:rsidRPr="009B659D">
        <w:rPr>
          <w:rFonts w:ascii="Calibri" w:hAnsi="Calibri" w:cs="Calibri"/>
          <w:sz w:val="20"/>
          <w:szCs w:val="20"/>
        </w:rPr>
        <w:t>specyfikacje techniczne wykonania i odbioru robót budowlanych (</w:t>
      </w:r>
      <w:proofErr w:type="spellStart"/>
      <w:r w:rsidRPr="009B659D">
        <w:rPr>
          <w:rFonts w:ascii="Calibri" w:hAnsi="Calibri" w:cs="Calibri"/>
          <w:sz w:val="20"/>
          <w:szCs w:val="20"/>
        </w:rPr>
        <w:t>STWiORB</w:t>
      </w:r>
      <w:proofErr w:type="spellEnd"/>
      <w:r w:rsidRPr="009B659D">
        <w:rPr>
          <w:rFonts w:ascii="Calibri" w:hAnsi="Calibri" w:cs="Calibri"/>
          <w:sz w:val="20"/>
          <w:szCs w:val="20"/>
        </w:rPr>
        <w:t>), zawierające m.in. zbiory wymagań niezbędnych do określenia standardu i jakości wykonania robót, w zakresie sposobu wykonania robót budowlanych, właściwości wyrobów budowlanych oraz oceny prawidłowości wykonania poszczególnych robót,</w:t>
      </w:r>
    </w:p>
    <w:p w14:paraId="4DEF8889" w14:textId="027521F2" w:rsidR="00163477" w:rsidRPr="009B659D" w:rsidRDefault="00163477" w:rsidP="00A571C4">
      <w:pPr>
        <w:pStyle w:val="Akapitzlist"/>
        <w:numPr>
          <w:ilvl w:val="0"/>
          <w:numId w:val="1"/>
        </w:numPr>
        <w:spacing w:after="0" w:line="240" w:lineRule="auto"/>
        <w:ind w:left="284" w:hanging="284"/>
        <w:jc w:val="both"/>
        <w:rPr>
          <w:rFonts w:ascii="Calibri" w:hAnsi="Calibri" w:cs="Calibri"/>
          <w:sz w:val="20"/>
          <w:szCs w:val="20"/>
        </w:rPr>
      </w:pPr>
      <w:r w:rsidRPr="009B659D">
        <w:rPr>
          <w:rFonts w:ascii="Calibri" w:hAnsi="Calibri" w:cs="Calibri"/>
          <w:sz w:val="20"/>
          <w:szCs w:val="20"/>
        </w:rPr>
        <w:t>specyfikacje techniczne wykonania i odbioru robót budowlanych (</w:t>
      </w:r>
      <w:proofErr w:type="spellStart"/>
      <w:r w:rsidRPr="009B659D">
        <w:rPr>
          <w:rFonts w:ascii="Calibri" w:hAnsi="Calibri" w:cs="Calibri"/>
          <w:sz w:val="20"/>
          <w:szCs w:val="20"/>
        </w:rPr>
        <w:t>STWiORB</w:t>
      </w:r>
      <w:proofErr w:type="spellEnd"/>
      <w:r w:rsidRPr="009B659D">
        <w:rPr>
          <w:rFonts w:ascii="Calibri" w:hAnsi="Calibri" w:cs="Calibri"/>
          <w:sz w:val="20"/>
          <w:szCs w:val="20"/>
        </w:rPr>
        <w:t xml:space="preserve">) będą dodatkowo uwzględniały dokładny harmonogram planowanych i niezbędnych </w:t>
      </w:r>
      <w:proofErr w:type="spellStart"/>
      <w:r w:rsidRPr="009B659D">
        <w:rPr>
          <w:rFonts w:ascii="Calibri" w:hAnsi="Calibri" w:cs="Calibri"/>
          <w:sz w:val="20"/>
          <w:szCs w:val="20"/>
        </w:rPr>
        <w:t>wyłączeń</w:t>
      </w:r>
      <w:proofErr w:type="spellEnd"/>
      <w:r w:rsidRPr="009B659D">
        <w:rPr>
          <w:rFonts w:ascii="Calibri" w:hAnsi="Calibri" w:cs="Calibri"/>
          <w:sz w:val="20"/>
          <w:szCs w:val="20"/>
        </w:rPr>
        <w:t xml:space="preserve"> i ponownych włączeń sieci, instalacji i urządzeń, dokładny i szczegółowy opis techniki i sposobu prowadzenia prac w konkretnych pomieszczeniach ruchu energetycznego m.in. przy urządzeniach elektroenergetycznych </w:t>
      </w:r>
      <w:proofErr w:type="spellStart"/>
      <w:r w:rsidRPr="009B659D">
        <w:rPr>
          <w:rFonts w:ascii="Calibri" w:hAnsi="Calibri" w:cs="Calibri"/>
          <w:sz w:val="20"/>
          <w:szCs w:val="20"/>
        </w:rPr>
        <w:t>nn</w:t>
      </w:r>
      <w:proofErr w:type="spellEnd"/>
      <w:r w:rsidRPr="009B659D">
        <w:rPr>
          <w:rFonts w:ascii="Calibri" w:hAnsi="Calibri" w:cs="Calibri"/>
          <w:sz w:val="20"/>
          <w:szCs w:val="20"/>
        </w:rPr>
        <w:t xml:space="preserve"> 230/400V oraz SN 15 </w:t>
      </w:r>
      <w:proofErr w:type="spellStart"/>
      <w:r w:rsidRPr="009B659D">
        <w:rPr>
          <w:rFonts w:ascii="Calibri" w:hAnsi="Calibri" w:cs="Calibri"/>
          <w:sz w:val="20"/>
          <w:szCs w:val="20"/>
        </w:rPr>
        <w:t>kV</w:t>
      </w:r>
      <w:proofErr w:type="spellEnd"/>
      <w:r w:rsidRPr="009B659D">
        <w:rPr>
          <w:rFonts w:ascii="Calibri" w:hAnsi="Calibri" w:cs="Calibri"/>
          <w:sz w:val="20"/>
          <w:szCs w:val="20"/>
        </w:rPr>
        <w:t>, dokładne i</w:t>
      </w:r>
      <w:r w:rsidR="00EB1CF7">
        <w:rPr>
          <w:rFonts w:ascii="Calibri" w:hAnsi="Calibri" w:cs="Calibri"/>
          <w:sz w:val="20"/>
          <w:szCs w:val="20"/>
        </w:rPr>
        <w:t> </w:t>
      </w:r>
      <w:r w:rsidRPr="009B659D">
        <w:rPr>
          <w:rFonts w:ascii="Calibri" w:hAnsi="Calibri" w:cs="Calibri"/>
          <w:sz w:val="20"/>
          <w:szCs w:val="20"/>
        </w:rPr>
        <w:t xml:space="preserve">konkretne instrukcje wykonania poszczególnych prac, minimalne wymagania kwalifikacyjne dla personelu, opis wyposażenia personelu w sprzęt ochronny i zabezpieczający, etc. </w:t>
      </w:r>
      <w:r w:rsidR="006A245F" w:rsidRPr="009B659D">
        <w:rPr>
          <w:rFonts w:ascii="Calibri" w:hAnsi="Calibri" w:cs="Calibri"/>
          <w:sz w:val="20"/>
          <w:szCs w:val="20"/>
        </w:rPr>
        <w:t>s</w:t>
      </w:r>
      <w:r w:rsidRPr="009B659D">
        <w:rPr>
          <w:rFonts w:ascii="Calibri" w:hAnsi="Calibri" w:cs="Calibri"/>
          <w:sz w:val="20"/>
          <w:szCs w:val="20"/>
        </w:rPr>
        <w:t>pecyfikacje (</w:t>
      </w:r>
      <w:proofErr w:type="spellStart"/>
      <w:r w:rsidRPr="009B659D">
        <w:rPr>
          <w:rFonts w:ascii="Calibri" w:hAnsi="Calibri" w:cs="Calibri"/>
          <w:sz w:val="20"/>
          <w:szCs w:val="20"/>
        </w:rPr>
        <w:t>STWiORB</w:t>
      </w:r>
      <w:proofErr w:type="spellEnd"/>
      <w:r w:rsidRPr="009B659D">
        <w:rPr>
          <w:rFonts w:ascii="Calibri" w:hAnsi="Calibri" w:cs="Calibri"/>
          <w:sz w:val="20"/>
          <w:szCs w:val="20"/>
        </w:rPr>
        <w:t xml:space="preserve">) powinny uwzględniać również dokładne opisy konkretnych procedur łączeniowych, przygotowujących do realizacji robót oraz konkretnych procedur łączeniowych, przywracających stan sprzed wykonania robót, a także szczegółowy opis procedur bezpieczeństwa. Opis powinien odnosić się bezpośrednio do operacji, wykonywanych konkretnymi łącznikami, zastosowanymi u Zamawiającego oraz do infrastruktury zainstalowanej u Zamawiającego oraz procedur Zamawiającego. Wykonawca uwzględni, że roboty będą wykonywane w funkcjonującym obiekcie. Realizacja zaplanowanych prac łączeniowych możliwa jest wyłącznie od godziny 23:00 w piątek do godziny 3:00 w poniedziałek, przy czym jednorazowe wyłączenie napięcia elektrycznego nie może przekroczyć 5 godzin na dobę, </w:t>
      </w:r>
      <w:proofErr w:type="spellStart"/>
      <w:r w:rsidRPr="009B659D">
        <w:rPr>
          <w:rFonts w:ascii="Calibri" w:hAnsi="Calibri" w:cs="Calibri"/>
          <w:sz w:val="20"/>
          <w:szCs w:val="20"/>
        </w:rPr>
        <w:t>t.j</w:t>
      </w:r>
      <w:proofErr w:type="spellEnd"/>
      <w:r w:rsidRPr="009B659D">
        <w:rPr>
          <w:rFonts w:ascii="Calibri" w:hAnsi="Calibri" w:cs="Calibri"/>
          <w:sz w:val="20"/>
          <w:szCs w:val="20"/>
        </w:rPr>
        <w:t>. na każde 24 kolejne godziny, a pomiędzy jednym wyłączeniem napięcia, a kolejnym musi być zachowana przerwa, wynosząca co najmniej 12 godzin.</w:t>
      </w:r>
    </w:p>
    <w:p w14:paraId="7955C483" w14:textId="77777777" w:rsidR="00163477" w:rsidRPr="009B659D" w:rsidRDefault="00163477" w:rsidP="00A571C4">
      <w:pPr>
        <w:spacing w:after="0" w:line="240" w:lineRule="auto"/>
        <w:jc w:val="both"/>
        <w:rPr>
          <w:rFonts w:ascii="Calibri" w:hAnsi="Calibri" w:cs="Calibri"/>
          <w:sz w:val="20"/>
          <w:szCs w:val="20"/>
        </w:rPr>
      </w:pPr>
    </w:p>
    <w:p w14:paraId="6A60C023" w14:textId="36B2D3E8" w:rsidR="00163477" w:rsidRPr="009B659D" w:rsidRDefault="00163477"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"DOKUMENTACJA</w:t>
      </w:r>
      <w:proofErr w:type="gramStart"/>
      <w:r w:rsidRPr="009B659D">
        <w:rPr>
          <w:rFonts w:ascii="Calibri" w:hAnsi="Calibri" w:cs="Calibri"/>
          <w:sz w:val="20"/>
          <w:szCs w:val="20"/>
        </w:rPr>
        <w:t>",</w:t>
      </w:r>
      <w:proofErr w:type="gramEnd"/>
      <w:r w:rsidRPr="009B659D">
        <w:rPr>
          <w:rFonts w:ascii="Calibri" w:hAnsi="Calibri" w:cs="Calibri"/>
          <w:sz w:val="20"/>
          <w:szCs w:val="20"/>
        </w:rPr>
        <w:t xml:space="preserve"> jako służąca udzieleniu dalszego zamówienia na wykonanie robót budowlanych, musi bezwzględnie uwzględniać zapisy ustawy z dnia 11 września 2019 roku Prawo zamówień publicznych (Dz.U. 202</w:t>
      </w:r>
      <w:r w:rsidR="006A245F" w:rsidRPr="009B659D">
        <w:rPr>
          <w:rFonts w:ascii="Calibri" w:hAnsi="Calibri" w:cs="Calibri"/>
          <w:sz w:val="20"/>
          <w:szCs w:val="20"/>
        </w:rPr>
        <w:t>4</w:t>
      </w:r>
      <w:r w:rsidRPr="009B659D">
        <w:rPr>
          <w:rFonts w:ascii="Calibri" w:hAnsi="Calibri" w:cs="Calibri"/>
          <w:sz w:val="20"/>
          <w:szCs w:val="20"/>
        </w:rPr>
        <w:t xml:space="preserve"> poz. 1</w:t>
      </w:r>
      <w:r w:rsidR="006A245F" w:rsidRPr="009B659D">
        <w:rPr>
          <w:rFonts w:ascii="Calibri" w:hAnsi="Calibri" w:cs="Calibri"/>
          <w:sz w:val="20"/>
          <w:szCs w:val="20"/>
        </w:rPr>
        <w:t>320</w:t>
      </w:r>
      <w:r w:rsidRPr="009B659D">
        <w:rPr>
          <w:rFonts w:ascii="Calibri" w:hAnsi="Calibri" w:cs="Calibri"/>
          <w:sz w:val="20"/>
          <w:szCs w:val="20"/>
        </w:rPr>
        <w:t xml:space="preserve"> - tekst jednolity), w szczególności w zakresie opisu przedmiotu zamówienia </w:t>
      </w:r>
      <w:proofErr w:type="spellStart"/>
      <w:r w:rsidRPr="009B659D">
        <w:rPr>
          <w:rFonts w:ascii="Calibri" w:hAnsi="Calibri" w:cs="Calibri"/>
          <w:sz w:val="20"/>
          <w:szCs w:val="20"/>
        </w:rPr>
        <w:t>t.j</w:t>
      </w:r>
      <w:proofErr w:type="spellEnd"/>
      <w:r w:rsidRPr="009B659D">
        <w:rPr>
          <w:rFonts w:ascii="Calibri" w:hAnsi="Calibri" w:cs="Calibri"/>
          <w:sz w:val="20"/>
          <w:szCs w:val="20"/>
        </w:rPr>
        <w:t>. art. od 99 do art. 10</w:t>
      </w:r>
      <w:r w:rsidR="00633B06">
        <w:rPr>
          <w:rFonts w:ascii="Calibri" w:hAnsi="Calibri" w:cs="Calibri"/>
          <w:sz w:val="20"/>
          <w:szCs w:val="20"/>
        </w:rPr>
        <w:t>2</w:t>
      </w:r>
      <w:r w:rsidR="006A245F" w:rsidRPr="009B659D">
        <w:rPr>
          <w:rFonts w:ascii="Calibri" w:hAnsi="Calibri" w:cs="Calibri"/>
          <w:sz w:val="20"/>
          <w:szCs w:val="20"/>
        </w:rPr>
        <w:t>.</w:t>
      </w:r>
    </w:p>
    <w:p w14:paraId="55B07D99" w14:textId="450C0736" w:rsidR="00163477" w:rsidRPr="009B659D" w:rsidRDefault="00163477"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"DOKUMENTACJA" w rozumieniu zgodnym z treścią art. 103 ust. 1 ustawy z dnia 11 września 2019 roku Prawo zamówień publicznych (Dz.U. 202</w:t>
      </w:r>
      <w:r w:rsidR="006A245F" w:rsidRPr="009B659D">
        <w:rPr>
          <w:rFonts w:ascii="Calibri" w:hAnsi="Calibri" w:cs="Calibri"/>
          <w:sz w:val="20"/>
          <w:szCs w:val="20"/>
        </w:rPr>
        <w:t>4</w:t>
      </w:r>
      <w:r w:rsidRPr="009B659D">
        <w:rPr>
          <w:rFonts w:ascii="Calibri" w:hAnsi="Calibri" w:cs="Calibri"/>
          <w:sz w:val="20"/>
          <w:szCs w:val="20"/>
        </w:rPr>
        <w:t xml:space="preserve"> poz. 1</w:t>
      </w:r>
      <w:r w:rsidR="006A245F" w:rsidRPr="009B659D">
        <w:rPr>
          <w:rFonts w:ascii="Calibri" w:hAnsi="Calibri" w:cs="Calibri"/>
          <w:sz w:val="20"/>
          <w:szCs w:val="20"/>
        </w:rPr>
        <w:t>320</w:t>
      </w:r>
      <w:r w:rsidRPr="009B659D">
        <w:rPr>
          <w:rFonts w:ascii="Calibri" w:hAnsi="Calibri" w:cs="Calibri"/>
          <w:sz w:val="20"/>
          <w:szCs w:val="20"/>
        </w:rPr>
        <w:t xml:space="preserve"> - tekst jednolity), nie może utrudniać uczciwej konkurencji, w</w:t>
      </w:r>
      <w:r w:rsidR="00EB1CF7">
        <w:rPr>
          <w:rFonts w:ascii="Calibri" w:hAnsi="Calibri" w:cs="Calibri"/>
          <w:sz w:val="20"/>
          <w:szCs w:val="20"/>
        </w:rPr>
        <w:t> </w:t>
      </w:r>
      <w:r w:rsidRPr="009B659D">
        <w:rPr>
          <w:rFonts w:ascii="Calibri" w:hAnsi="Calibri" w:cs="Calibri"/>
          <w:sz w:val="20"/>
          <w:szCs w:val="20"/>
        </w:rPr>
        <w:t xml:space="preserve">szczególności przez wskazanie znaków towarowych, patentów lub pochodzenia, źródła lub szczególnego </w:t>
      </w:r>
      <w:r w:rsidRPr="009B659D">
        <w:rPr>
          <w:rFonts w:ascii="Calibri" w:hAnsi="Calibri" w:cs="Calibri"/>
          <w:sz w:val="20"/>
          <w:szCs w:val="20"/>
        </w:rPr>
        <w:lastRenderedPageBreak/>
        <w:t>procesu, który charakteryzuje produkty lub usługi dostarczane przez konkretnego wykonawcę, jeżeli mogłoby to doprowadzić do uprzywilejowania lub wyeliminowania niektórych wykonawców lub produktów. DOKUMENTACJA może jednak zawierać wskazanie znaków towarowych, patentów lub pochodzenia, źródła lub szczególnego procesu, który charakteryzuje produkty lub usługi dostarczane przez konkretnego wykonawcę, jeżeli nie można opisać przedmiotu zamówienia w wystarczająco precyzyjny i zrozumiały sposób, a wskazaniu takiemu towarzyszą wyrazy „lub równoważny”, przy czym należy wskazać dokładne kryteria, stosowane w celu oceny tejże równoważności. Zgodnie z art. 103 ust. 1 ustawy z dnia 11 września 2019 roku Prawo zamówień publicznych (Dz.U. 202</w:t>
      </w:r>
      <w:r w:rsidR="006A245F" w:rsidRPr="009B659D">
        <w:rPr>
          <w:rFonts w:ascii="Calibri" w:hAnsi="Calibri" w:cs="Calibri"/>
          <w:sz w:val="20"/>
          <w:szCs w:val="20"/>
        </w:rPr>
        <w:t>4</w:t>
      </w:r>
      <w:r w:rsidRPr="009B659D">
        <w:rPr>
          <w:rFonts w:ascii="Calibri" w:hAnsi="Calibri" w:cs="Calibri"/>
          <w:sz w:val="20"/>
          <w:szCs w:val="20"/>
        </w:rPr>
        <w:t xml:space="preserve"> poz. 1</w:t>
      </w:r>
      <w:r w:rsidR="006A245F" w:rsidRPr="009B659D">
        <w:rPr>
          <w:rFonts w:ascii="Calibri" w:hAnsi="Calibri" w:cs="Calibri"/>
          <w:sz w:val="20"/>
          <w:szCs w:val="20"/>
        </w:rPr>
        <w:t>320</w:t>
      </w:r>
      <w:r w:rsidRPr="009B659D">
        <w:rPr>
          <w:rFonts w:ascii="Calibri" w:hAnsi="Calibri" w:cs="Calibri"/>
          <w:sz w:val="20"/>
          <w:szCs w:val="20"/>
        </w:rPr>
        <w:t xml:space="preserve"> - tekst jednolity), zamówienia na roboty budowlane, opisuje się za pomocą dokumentacji projektowej oraz specyfikacji technicznych wykonania i odbioru robót budowlanych</w:t>
      </w:r>
      <w:r w:rsidR="006A245F" w:rsidRPr="009B659D">
        <w:rPr>
          <w:rFonts w:ascii="Calibri" w:hAnsi="Calibri" w:cs="Calibri"/>
          <w:sz w:val="20"/>
          <w:szCs w:val="20"/>
        </w:rPr>
        <w:t>.</w:t>
      </w:r>
    </w:p>
    <w:p w14:paraId="214D0532" w14:textId="4FB3153E" w:rsidR="00163477" w:rsidRPr="009B659D" w:rsidRDefault="006A245F"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S</w:t>
      </w:r>
      <w:r w:rsidR="00163477" w:rsidRPr="009B659D">
        <w:rPr>
          <w:rFonts w:ascii="Calibri" w:hAnsi="Calibri" w:cs="Calibri"/>
          <w:sz w:val="20"/>
          <w:szCs w:val="20"/>
        </w:rPr>
        <w:t>porządzona "DOKUMENTACJA", w szczególności kompleksowy projekt całego systemu, musi obejmować skuteczne i kompleksowe zabezpieczenie przeciwpożarowe samych pomieszczeń technicznych oraz dodatkowo zabezpieczenie przeciwpożarowe wnętrza kubaturowych urządzeń energetycznych np. rozdzielnic elektrycznych (szaf, obudów, etc.) np. za pomocą dedykowanych gaśniczych generatorów azotu, lub też w inny, odpowiednio zaprojektowany sposób</w:t>
      </w:r>
      <w:r w:rsidRPr="009B659D">
        <w:rPr>
          <w:rFonts w:ascii="Calibri" w:hAnsi="Calibri" w:cs="Calibri"/>
          <w:sz w:val="20"/>
          <w:szCs w:val="20"/>
        </w:rPr>
        <w:t>.</w:t>
      </w:r>
    </w:p>
    <w:p w14:paraId="31D3723F" w14:textId="49C3C6CC" w:rsidR="00163477" w:rsidRPr="009B659D" w:rsidRDefault="006A245F"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Z</w:t>
      </w:r>
      <w:r w:rsidR="00163477" w:rsidRPr="009B659D">
        <w:rPr>
          <w:rFonts w:ascii="Calibri" w:hAnsi="Calibri" w:cs="Calibri"/>
          <w:sz w:val="20"/>
          <w:szCs w:val="20"/>
        </w:rPr>
        <w:t xml:space="preserve">aprojektowany system musi wykorzystywać czysty gazowy środek gaśniczy np. z grupy tzw. F-gazów, przeznaczony do gaszenia pożarów w pomieszczeniach, w których użycie innych środków gaśniczych, takich jak wody, piany lub proszku gaśniczego spowodowałoby dodatkowe szkody materialne, specjalnie dedykowany do gaszenia urządzeń elektrycznych pod napięciem elektrycznym do 15 </w:t>
      </w:r>
      <w:proofErr w:type="spellStart"/>
      <w:r w:rsidR="00163477" w:rsidRPr="009B659D">
        <w:rPr>
          <w:rFonts w:ascii="Calibri" w:hAnsi="Calibri" w:cs="Calibri"/>
          <w:sz w:val="20"/>
          <w:szCs w:val="20"/>
        </w:rPr>
        <w:t>kV</w:t>
      </w:r>
      <w:proofErr w:type="spellEnd"/>
      <w:r w:rsidRPr="009B659D">
        <w:rPr>
          <w:rFonts w:ascii="Calibri" w:hAnsi="Calibri" w:cs="Calibri"/>
          <w:sz w:val="20"/>
          <w:szCs w:val="20"/>
        </w:rPr>
        <w:t>.</w:t>
      </w:r>
    </w:p>
    <w:p w14:paraId="0EE83701" w14:textId="299AD70C" w:rsidR="00163477" w:rsidRPr="009B659D" w:rsidRDefault="006A245F"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U</w:t>
      </w:r>
      <w:r w:rsidR="00163477" w:rsidRPr="009B659D">
        <w:rPr>
          <w:rFonts w:ascii="Calibri" w:hAnsi="Calibri" w:cs="Calibri"/>
          <w:sz w:val="20"/>
          <w:szCs w:val="20"/>
        </w:rPr>
        <w:t>kład detekcji pożaru, wchodzący w skład systemu musi być zrealizowany w oparciu o właściwie zaprojektowany i dobrany zestaw skutecznych czujników, wykrywających pożar w możliwie wczesnej fazie, w</w:t>
      </w:r>
      <w:r w:rsidR="00EB1CF7">
        <w:rPr>
          <w:rFonts w:ascii="Calibri" w:hAnsi="Calibri" w:cs="Calibri"/>
          <w:sz w:val="20"/>
          <w:szCs w:val="20"/>
        </w:rPr>
        <w:t> </w:t>
      </w:r>
      <w:r w:rsidR="00163477" w:rsidRPr="009B659D">
        <w:rPr>
          <w:rFonts w:ascii="Calibri" w:hAnsi="Calibri" w:cs="Calibri"/>
          <w:sz w:val="20"/>
          <w:szCs w:val="20"/>
        </w:rPr>
        <w:t>tym wykorzystujący m.in. czujki dwusensorowe, wykrywające obecność dymu oraz wzrost temperatury w</w:t>
      </w:r>
      <w:r w:rsidR="00EB1CF7">
        <w:rPr>
          <w:rFonts w:ascii="Calibri" w:hAnsi="Calibri" w:cs="Calibri"/>
          <w:sz w:val="20"/>
          <w:szCs w:val="20"/>
        </w:rPr>
        <w:t> </w:t>
      </w:r>
      <w:r w:rsidR="00163477" w:rsidRPr="009B659D">
        <w:rPr>
          <w:rFonts w:ascii="Calibri" w:hAnsi="Calibri" w:cs="Calibri"/>
          <w:sz w:val="20"/>
          <w:szCs w:val="20"/>
        </w:rPr>
        <w:t>oparciu o człon nadmiarowo-różniczkujący, liniowe czujki temperatury, kable sensoryczne, czujki zasysające, kamery termowizyjne oraz wszystkie inne detektory, dobrane adekwatnie do warunków pracy, zapewniające skuteczne wykrycie pożaru w możliwie wczesnej fazie</w:t>
      </w:r>
      <w:r w:rsidRPr="009B659D">
        <w:rPr>
          <w:rFonts w:ascii="Calibri" w:hAnsi="Calibri" w:cs="Calibri"/>
          <w:sz w:val="20"/>
          <w:szCs w:val="20"/>
        </w:rPr>
        <w:t>.</w:t>
      </w:r>
    </w:p>
    <w:p w14:paraId="7D92CA45" w14:textId="45DD0211" w:rsidR="00163477" w:rsidRPr="009B659D" w:rsidRDefault="006A245F"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S</w:t>
      </w:r>
      <w:r w:rsidR="00163477" w:rsidRPr="009B659D">
        <w:rPr>
          <w:rFonts w:ascii="Calibri" w:hAnsi="Calibri" w:cs="Calibri"/>
          <w:sz w:val="20"/>
          <w:szCs w:val="20"/>
        </w:rPr>
        <w:t>porządzona "DOKUMENTACJA", w szczególności projekt będzie przewidywał i uwzględniał wszystkie konieczne, niezbędne oraz wskazane i zalecane rozwiązania, zapewniające właściwą i prawidłową implementację oraz prawidłową i właściwą eksploatację systemu gaszenia SUG. Projekt musi obejmować kompleksowo wszystkie specjalności i branże, objęte zakresem projektowania oraz być w pełni skoordynowany branżowo</w:t>
      </w:r>
      <w:r w:rsidRPr="009B659D">
        <w:rPr>
          <w:rFonts w:ascii="Calibri" w:hAnsi="Calibri" w:cs="Calibri"/>
          <w:sz w:val="20"/>
          <w:szCs w:val="20"/>
        </w:rPr>
        <w:t>.</w:t>
      </w:r>
    </w:p>
    <w:p w14:paraId="17E1122D" w14:textId="50ED46CE" w:rsidR="00163477" w:rsidRPr="009B659D" w:rsidRDefault="006A245F"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P</w:t>
      </w:r>
      <w:r w:rsidR="00163477" w:rsidRPr="009B659D">
        <w:rPr>
          <w:rFonts w:ascii="Calibri" w:hAnsi="Calibri" w:cs="Calibri"/>
          <w:sz w:val="20"/>
          <w:szCs w:val="20"/>
        </w:rPr>
        <w:t>rojekt będzie sporządzony zgodnie z przepisami rozporządzenia Ministra Rozwoju z dnia 11 września 2020 roku w sprawie szczegółowego zakresu i formy projektu budowlanego (Dz.U. 2022 poz. 1679 - tekst jednolity) oraz rozporządzenia Ministra Rozwoju i Technologii z dnia 20 grudnia 2021 roku w sprawie szczegółowego zakresu i formy dokumentacji projektowej, specyfikacji technicznych wykonania i odbioru robót budowlanych oraz programu funkcjonalno-użytkowego (Dz.U. 2021 poz. 2454)</w:t>
      </w:r>
      <w:r w:rsidRPr="009B659D">
        <w:rPr>
          <w:rFonts w:ascii="Calibri" w:hAnsi="Calibri" w:cs="Calibri"/>
          <w:sz w:val="20"/>
          <w:szCs w:val="20"/>
        </w:rPr>
        <w:t>.</w:t>
      </w:r>
    </w:p>
    <w:p w14:paraId="2EE65E17" w14:textId="7FB1DAB2" w:rsidR="00163477" w:rsidRPr="009B659D" w:rsidRDefault="006A245F" w:rsidP="00B94B9C">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K</w:t>
      </w:r>
      <w:r w:rsidR="00163477" w:rsidRPr="009B659D">
        <w:rPr>
          <w:rFonts w:ascii="Calibri" w:hAnsi="Calibri" w:cs="Calibri"/>
          <w:sz w:val="20"/>
          <w:szCs w:val="20"/>
        </w:rPr>
        <w:t>osztorys inwestorski zostanie sporządzony zgodnie z przepisami rozporządzenia Ministra Rozwoju i</w:t>
      </w:r>
      <w:r w:rsidR="00EB1CF7">
        <w:rPr>
          <w:rFonts w:ascii="Calibri" w:hAnsi="Calibri" w:cs="Calibri"/>
          <w:sz w:val="20"/>
          <w:szCs w:val="20"/>
        </w:rPr>
        <w:t> </w:t>
      </w:r>
      <w:r w:rsidR="00163477" w:rsidRPr="009B659D">
        <w:rPr>
          <w:rFonts w:ascii="Calibri" w:hAnsi="Calibri" w:cs="Calibri"/>
          <w:sz w:val="20"/>
          <w:szCs w:val="20"/>
        </w:rPr>
        <w:t>Technologii z dnia 20 grudnia 2021 roku w sprawie określenia metod i podstaw sporządzania kosztorysu inwestorskiego, obliczania planowanych kosztów prac projektowych oraz planowanych kosztów robót budowlanych określonych w programie funkcjonalno-użytkowym (Dz.U. 2021 poz. 2458)</w:t>
      </w:r>
      <w:r w:rsidRPr="009B659D">
        <w:rPr>
          <w:rFonts w:ascii="Calibri" w:hAnsi="Calibri" w:cs="Calibri"/>
          <w:sz w:val="20"/>
          <w:szCs w:val="20"/>
        </w:rPr>
        <w:t>.</w:t>
      </w:r>
      <w:r w:rsidR="00B94B9C" w:rsidRPr="009B659D">
        <w:rPr>
          <w:rFonts w:ascii="Calibri" w:hAnsi="Calibri" w:cs="Calibri"/>
          <w:sz w:val="20"/>
          <w:szCs w:val="20"/>
        </w:rPr>
        <w:t xml:space="preserve"> Zamawiający zastrzega w ramach wynagrodzenia umownego dwukrotną aktualizację kosztorysów na żądanie Zamawiającego, w okresie do 18 miesięcy od daty podpisania protokołu odbioru końcowego "DOKUMENTACJI".</w:t>
      </w:r>
    </w:p>
    <w:p w14:paraId="5FFE82D5" w14:textId="06D52AE1" w:rsidR="00163477" w:rsidRPr="009B659D" w:rsidRDefault="00163477"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"DOKUMENTACJĘ" sporządzi zespół</w:t>
      </w:r>
      <w:r w:rsidR="003F2FCC">
        <w:rPr>
          <w:rFonts w:ascii="Calibri" w:hAnsi="Calibri" w:cs="Calibri"/>
          <w:sz w:val="20"/>
          <w:szCs w:val="20"/>
        </w:rPr>
        <w:t>,</w:t>
      </w:r>
      <w:r w:rsidRPr="009B659D">
        <w:rPr>
          <w:rFonts w:ascii="Calibri" w:hAnsi="Calibri" w:cs="Calibri"/>
          <w:sz w:val="20"/>
          <w:szCs w:val="20"/>
        </w:rPr>
        <w:t xml:space="preserve"> w skład którego wejdzie przynajmniej jedna osoba, posiadająca uprawnienia budowlane do projektowania bez ograniczeń w specjalności:</w:t>
      </w:r>
    </w:p>
    <w:p w14:paraId="62A1364C" w14:textId="346CCDFD"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konstrukcyjno-budowlanej o której mowa w art. 14 ust. 1 pkt 2 ustawy z dnia 7 lipca 1994 roku Prawo budowlane (Dz.U. 2024 poz. 725 - tekst jednolity)</w:t>
      </w:r>
      <w:r w:rsidR="00D83A1D" w:rsidRPr="009B659D">
        <w:rPr>
          <w:rFonts w:ascii="Calibri" w:hAnsi="Calibri" w:cs="Calibri"/>
          <w:sz w:val="20"/>
          <w:szCs w:val="20"/>
        </w:rPr>
        <w:t xml:space="preserve"> lub odpowiadające im uprawnienia budowlane wydane na podstawie wcześniej obowiązujących przepisów albo uprawnione do sprawowania samodzielnej funkcji na podstawie odrębnych przepisów prawa,</w:t>
      </w:r>
    </w:p>
    <w:p w14:paraId="5DACF78C" w14:textId="247612D6"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instalacyjnej w zakresie sieci, instalacji i urządzeń telekomunikacyjnych o której mowa w art. 14 ust. 1 pkt 4 lit. a) ustawy z dnia 7 lipca 1994 roku Prawo budowlane (Dz.U. 2024 poz. 725 - tekst jednolity)</w:t>
      </w:r>
      <w:r w:rsidR="00D83A1D" w:rsidRPr="009B659D">
        <w:rPr>
          <w:rFonts w:ascii="Calibri" w:hAnsi="Calibri" w:cs="Calibri"/>
          <w:sz w:val="20"/>
          <w:szCs w:val="20"/>
        </w:rPr>
        <w:t xml:space="preserve"> lub odpowiadające im uprawnienia budowlane wydane na podstawie wcześniej obowiązujących przepisów albo uprawnione do sprawowania samodzielnej funkcji na podstawie odrębnych przepisów prawa,</w:t>
      </w:r>
    </w:p>
    <w:p w14:paraId="4FA18BF4" w14:textId="13F7ADEA"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instalacyjnej w zakresie sieci, instalacji i urządzeń cieplnych, wentylacyjnych, gazowych, wodociągowych i</w:t>
      </w:r>
      <w:r w:rsidR="00EB1CF7">
        <w:rPr>
          <w:rFonts w:ascii="Calibri" w:hAnsi="Calibri" w:cs="Calibri"/>
          <w:sz w:val="20"/>
          <w:szCs w:val="20"/>
        </w:rPr>
        <w:t> </w:t>
      </w:r>
      <w:r w:rsidRPr="009B659D">
        <w:rPr>
          <w:rFonts w:ascii="Calibri" w:hAnsi="Calibri" w:cs="Calibri"/>
          <w:sz w:val="20"/>
          <w:szCs w:val="20"/>
        </w:rPr>
        <w:t>kanalizacyjnych o której mowa w art. 14 ust. 1 pkt 4 lit. b) ustawy z dnia 7 lipca 1994 roku Prawo budowlane (Dz.U. 2024 poz. 725 - tekst jednolity)</w:t>
      </w:r>
      <w:r w:rsidR="00D83A1D" w:rsidRPr="009B659D">
        <w:rPr>
          <w:rFonts w:ascii="Calibri" w:hAnsi="Calibri" w:cs="Calibri"/>
          <w:sz w:val="20"/>
          <w:szCs w:val="20"/>
        </w:rPr>
        <w:t xml:space="preserve"> lub odpowiadające im uprawnienia budowlane wydane na </w:t>
      </w:r>
      <w:r w:rsidR="00D83A1D" w:rsidRPr="009B659D">
        <w:rPr>
          <w:rFonts w:ascii="Calibri" w:hAnsi="Calibri" w:cs="Calibri"/>
          <w:sz w:val="20"/>
          <w:szCs w:val="20"/>
        </w:rPr>
        <w:lastRenderedPageBreak/>
        <w:t>podstawie wcześniej obowiązujących przepisów albo uprawnione do sprawowania samodzielnej funkcji na podstawie odrębnych przepisów prawa,</w:t>
      </w:r>
    </w:p>
    <w:p w14:paraId="0382DE2B" w14:textId="08FCAA90"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instalacyjnej w zakresie sieci, instalacji i urządzeń elektrycznych i elektroenergetycznych o której mowa w art. 14 ust. 1 pkt 4 lit. c) ustawy z dnia 7 lipca 1994 roku Prawo budowlane (Dz.U. 2024 poz. 725 - tekst jednolity)</w:t>
      </w:r>
      <w:r w:rsidR="00D83A1D" w:rsidRPr="009B659D">
        <w:rPr>
          <w:rFonts w:ascii="Calibri" w:hAnsi="Calibri" w:cs="Calibri"/>
          <w:sz w:val="20"/>
          <w:szCs w:val="20"/>
        </w:rPr>
        <w:t xml:space="preserve"> lub odpowiadające im uprawnienia budowlane wydane na podstawie wcześniej obowiązujących przepisów albo uprawnione do sprawowania samodzielnej funkcji na podstawie odrębnych przepisów prawa,</w:t>
      </w:r>
    </w:p>
    <w:p w14:paraId="70819462" w14:textId="3AA02AF4"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oraz rzeczoznawca do spraw zabezpieczeń przeciwpożarowych o którym mowa w art. 11B ustawy z dnia 24 sierpnia 1991 roku o ochronie przeciwpożarowej.</w:t>
      </w:r>
    </w:p>
    <w:p w14:paraId="0AE0D5FD" w14:textId="2E8D868A" w:rsidR="006A245F" w:rsidRPr="009B659D" w:rsidRDefault="00163477"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"DOKUMENTACJA" zostanie sporządzona zgodnie z obowiązującym prawem oraz aktualnymi normami w</w:t>
      </w:r>
      <w:r w:rsidR="00EB1CF7">
        <w:rPr>
          <w:rFonts w:ascii="Calibri" w:hAnsi="Calibri" w:cs="Calibri"/>
          <w:sz w:val="20"/>
          <w:szCs w:val="20"/>
        </w:rPr>
        <w:t> </w:t>
      </w:r>
      <w:r w:rsidRPr="009B659D">
        <w:rPr>
          <w:rFonts w:ascii="Calibri" w:hAnsi="Calibri" w:cs="Calibri"/>
          <w:sz w:val="20"/>
          <w:szCs w:val="20"/>
        </w:rPr>
        <w:t>zakresie przedmiotu zamówienia, w szczególności zgodnie z:</w:t>
      </w:r>
    </w:p>
    <w:p w14:paraId="18F96DF0" w14:textId="2CB86434"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lang w:val="en-GB"/>
        </w:rPr>
      </w:pPr>
      <w:r w:rsidRPr="009B659D">
        <w:rPr>
          <w:rFonts w:ascii="Calibri" w:hAnsi="Calibri" w:cs="Calibri"/>
          <w:sz w:val="20"/>
          <w:szCs w:val="20"/>
          <w:lang w:val="en-GB"/>
        </w:rPr>
        <w:t>PN-EN 15004-1:2019-06 Fixed firefighting systems. Gas extinguishing systems. Part 1: Design, installation and maintenance,</w:t>
      </w:r>
    </w:p>
    <w:p w14:paraId="33FB4A42" w14:textId="51C4FBF8"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lang w:val="en-GB"/>
        </w:rPr>
      </w:pPr>
      <w:r w:rsidRPr="009B659D">
        <w:rPr>
          <w:rFonts w:ascii="Calibri" w:hAnsi="Calibri" w:cs="Calibri"/>
          <w:sz w:val="20"/>
          <w:szCs w:val="20"/>
          <w:lang w:val="en-GB"/>
        </w:rPr>
        <w:t>PN-EN 15004-2:2021-03 Fixed firefighting systems. Gas extinguishing systems. Part 2: Physical properties and system design of gas extinguishing systems for FK-5-1-12 extinguishant,</w:t>
      </w:r>
    </w:p>
    <w:p w14:paraId="4A5C970C" w14:textId="6F5CA88D"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lang w:val="en-GB"/>
        </w:rPr>
      </w:pPr>
      <w:r w:rsidRPr="009B659D">
        <w:rPr>
          <w:rFonts w:ascii="Calibri" w:hAnsi="Calibri" w:cs="Calibri"/>
          <w:sz w:val="20"/>
          <w:szCs w:val="20"/>
          <w:lang w:val="en-GB"/>
        </w:rPr>
        <w:t>PN-EN 15004-8:2018-04 Fixed firefighting systems. Gas extinguishing systems. Part 8: Physical properties and system design of gas extinguishing systems for IG-100 extinguishant,</w:t>
      </w:r>
    </w:p>
    <w:p w14:paraId="5D1B95BA" w14:textId="5AA32069"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normy z rodziny PN-EN 12094, mające zastosowanie przy realizacji przedmiotu zamówienia,</w:t>
      </w:r>
    </w:p>
    <w:p w14:paraId="064BEFC5" w14:textId="4B2D02ED"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lang w:val="en-GB"/>
        </w:rPr>
      </w:pPr>
      <w:r w:rsidRPr="009B659D">
        <w:rPr>
          <w:rFonts w:ascii="Calibri" w:hAnsi="Calibri" w:cs="Calibri"/>
          <w:sz w:val="20"/>
          <w:szCs w:val="20"/>
          <w:lang w:val="en-GB"/>
        </w:rPr>
        <w:t>PKN-CEN/TS 54-14:2020-09 Fire detection and fire alarm systems. Part 14: Guidelines for planning, design, installation, commissioning, use and maintenance,</w:t>
      </w:r>
    </w:p>
    <w:p w14:paraId="2A39FAF6" w14:textId="28A4BD44"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rPr>
      </w:pPr>
      <w:r w:rsidRPr="009B659D">
        <w:rPr>
          <w:rFonts w:ascii="Calibri" w:hAnsi="Calibri" w:cs="Calibri"/>
          <w:sz w:val="20"/>
          <w:szCs w:val="20"/>
        </w:rPr>
        <w:t>normy z rodziny PN-EN 54, mające zastosowanie przy realizacji przedmiotu zamówienia,</w:t>
      </w:r>
    </w:p>
    <w:p w14:paraId="0D5D7128" w14:textId="70CF4BFB" w:rsidR="00163477" w:rsidRPr="009B659D" w:rsidRDefault="00163477" w:rsidP="00A571C4">
      <w:pPr>
        <w:pStyle w:val="Akapitzlist"/>
        <w:numPr>
          <w:ilvl w:val="1"/>
          <w:numId w:val="2"/>
        </w:numPr>
        <w:spacing w:after="0" w:line="240" w:lineRule="auto"/>
        <w:ind w:left="567" w:hanging="283"/>
        <w:jc w:val="both"/>
        <w:rPr>
          <w:rFonts w:ascii="Calibri" w:hAnsi="Calibri" w:cs="Calibri"/>
          <w:sz w:val="20"/>
          <w:szCs w:val="20"/>
          <w:lang w:val="en-GB"/>
        </w:rPr>
      </w:pPr>
      <w:r w:rsidRPr="009B659D">
        <w:rPr>
          <w:rFonts w:ascii="Calibri" w:hAnsi="Calibri" w:cs="Calibri"/>
          <w:sz w:val="20"/>
          <w:szCs w:val="20"/>
          <w:lang w:val="en-GB"/>
        </w:rPr>
        <w:t>PN-EN 14604:2006 Smoke alarm devices.</w:t>
      </w:r>
    </w:p>
    <w:p w14:paraId="03D1A197" w14:textId="70045C72" w:rsidR="00163477" w:rsidRPr="009B659D" w:rsidRDefault="00163477"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 xml:space="preserve">Wykonawca "DOKUMENTACJI" </w:t>
      </w:r>
      <w:r w:rsidR="00E501EA" w:rsidRPr="009B659D">
        <w:rPr>
          <w:rFonts w:ascii="Calibri" w:hAnsi="Calibri" w:cs="Calibri"/>
          <w:sz w:val="20"/>
          <w:szCs w:val="20"/>
        </w:rPr>
        <w:t xml:space="preserve">w ramach wynagrodzenia umownego </w:t>
      </w:r>
      <w:r w:rsidRPr="009B659D">
        <w:rPr>
          <w:rFonts w:ascii="Calibri" w:hAnsi="Calibri" w:cs="Calibri"/>
          <w:sz w:val="20"/>
          <w:szCs w:val="20"/>
        </w:rPr>
        <w:t>zobowiązuje się w ramach niniejszego przedmiotu zamówienia również do pełnienia nadzoru autorskiego, o którym mowa w art. 12 ust. 1 pkt 1 ustawy z dnia 7 lipca 1994 roku Prawo budowlane (Dz.U. 2024 poz. 725 - tekst jednolity) w ramach art. 18 ust. 3 ustawy z dnia 7 lipca 1994 roku Prawo budowlane (Dz.U. 2024 poz. 725 - tekst jednolity)</w:t>
      </w:r>
      <w:r w:rsidR="00B94B9C" w:rsidRPr="009B659D">
        <w:rPr>
          <w:rFonts w:ascii="Calibri" w:hAnsi="Calibri" w:cs="Calibri"/>
          <w:sz w:val="20"/>
          <w:szCs w:val="20"/>
        </w:rPr>
        <w:t>, w okresie do 60 miesięcy od daty podpisania protokołu odbioru końcowego "DOKUMENTACJI".</w:t>
      </w:r>
    </w:p>
    <w:p w14:paraId="15579886" w14:textId="1545D071" w:rsidR="00163477" w:rsidRPr="009B659D" w:rsidRDefault="000F7608"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S</w:t>
      </w:r>
      <w:r w:rsidR="00163477" w:rsidRPr="009B659D">
        <w:rPr>
          <w:rFonts w:ascii="Calibri" w:hAnsi="Calibri" w:cs="Calibri"/>
          <w:sz w:val="20"/>
          <w:szCs w:val="20"/>
        </w:rPr>
        <w:t>porządzona "DOKUMENTACJA" zostanie sprawdzona w rozumieniu art. 20 ust. 2 ustawy z dnia 7 lipca 1994 roku Prawo budowlane (Dz.U. 2024 poz. 725 - tekst jednolity) przez osoby, posiadające analogiczne uprawnienia co wymienione w pkt. g 1-4 niniejszego OPZ.</w:t>
      </w:r>
    </w:p>
    <w:p w14:paraId="28F48CD8" w14:textId="4EBF2177" w:rsidR="00163477" w:rsidRPr="009B659D" w:rsidRDefault="00163477"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"DOKUMENTACJA" zostanie sporządzona, sprawdzona i przekazana Zamawiającemu w trzech egzemplarzach na piśmie w technice drukowanej wraz z oryginalnymi podpisami i adnotacjami, jednej wersji elektronicznej nieedytowalnej, wykonanej jako kolorowy skan w dobrej jakości i rozdzielczości, zawierający dokładnie ten sam zakres i treść identyczną z postacią drukowaną oraz w jednej wersji elektronicznej edytowalnej w plikach natywnych, właściwych do oprogramowania, za pomocą którego zostały sporządzone. Wersje elektroniczne (nieedytowalna oraz edytowalna) zostaną przekazane na zewnętrznym nośniku danych w postaci pendrive.</w:t>
      </w:r>
    </w:p>
    <w:p w14:paraId="5393A1A7" w14:textId="14DD67F9" w:rsidR="00163477" w:rsidRPr="009B659D" w:rsidRDefault="000F7608"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P</w:t>
      </w:r>
      <w:r w:rsidR="00163477" w:rsidRPr="009B659D">
        <w:rPr>
          <w:rFonts w:ascii="Calibri" w:hAnsi="Calibri" w:cs="Calibri"/>
          <w:sz w:val="20"/>
          <w:szCs w:val="20"/>
        </w:rPr>
        <w:t xml:space="preserve">rzed złożeniem wiążącej oferty </w:t>
      </w:r>
      <w:r w:rsidRPr="009B659D">
        <w:rPr>
          <w:rFonts w:ascii="Calibri" w:hAnsi="Calibri" w:cs="Calibri"/>
          <w:sz w:val="20"/>
          <w:szCs w:val="20"/>
        </w:rPr>
        <w:t>Zamawiający</w:t>
      </w:r>
      <w:r w:rsidR="00163477" w:rsidRPr="009B659D">
        <w:rPr>
          <w:rFonts w:ascii="Calibri" w:hAnsi="Calibri" w:cs="Calibri"/>
          <w:sz w:val="20"/>
          <w:szCs w:val="20"/>
        </w:rPr>
        <w:t xml:space="preserve"> zaleca Wykonawcy przeprowadzenie wnikliwej wizji lokalnej w obiekcie Zamawiającego.</w:t>
      </w:r>
    </w:p>
    <w:p w14:paraId="2C3E2CDD" w14:textId="77777777" w:rsidR="000F7608" w:rsidRPr="009B659D" w:rsidRDefault="000F7608" w:rsidP="00A571C4">
      <w:pPr>
        <w:pStyle w:val="Akapitzlist"/>
        <w:numPr>
          <w:ilvl w:val="0"/>
          <w:numId w:val="2"/>
        </w:numPr>
        <w:spacing w:after="0" w:line="240" w:lineRule="auto"/>
        <w:ind w:left="284" w:hanging="284"/>
        <w:jc w:val="both"/>
        <w:rPr>
          <w:rFonts w:ascii="Calibri" w:hAnsi="Calibri" w:cs="Calibri"/>
          <w:sz w:val="20"/>
          <w:szCs w:val="20"/>
        </w:rPr>
      </w:pPr>
      <w:r w:rsidRPr="009B659D">
        <w:rPr>
          <w:rFonts w:ascii="Calibri" w:hAnsi="Calibri" w:cs="Calibri"/>
          <w:sz w:val="20"/>
          <w:szCs w:val="20"/>
        </w:rPr>
        <w:t>P</w:t>
      </w:r>
      <w:r w:rsidR="00163477" w:rsidRPr="009B659D">
        <w:rPr>
          <w:rFonts w:ascii="Calibri" w:hAnsi="Calibri" w:cs="Calibri"/>
          <w:sz w:val="20"/>
          <w:szCs w:val="20"/>
        </w:rPr>
        <w:t>rojektowanym systemem gaszenia zostaną objęte następujące pomieszczenia:</w:t>
      </w:r>
    </w:p>
    <w:p w14:paraId="1C2FC2F2" w14:textId="77777777" w:rsidR="000F7608" w:rsidRPr="009B659D" w:rsidRDefault="000F7608" w:rsidP="00A571C4">
      <w:pPr>
        <w:pStyle w:val="Akapitzlist"/>
        <w:spacing w:after="0" w:line="240" w:lineRule="auto"/>
        <w:ind w:left="284"/>
        <w:jc w:val="both"/>
        <w:rPr>
          <w:rFonts w:ascii="Calibri" w:hAnsi="Calibri" w:cs="Calibri"/>
          <w:sz w:val="20"/>
          <w:szCs w:val="20"/>
        </w:rPr>
      </w:pPr>
    </w:p>
    <w:p w14:paraId="39666BA2" w14:textId="74DEA368" w:rsidR="000F7608" w:rsidRPr="009B659D" w:rsidRDefault="00163477" w:rsidP="00A571C4">
      <w:pPr>
        <w:pStyle w:val="Akapitzlist"/>
        <w:spacing w:after="0" w:line="240" w:lineRule="auto"/>
        <w:ind w:left="284"/>
        <w:jc w:val="both"/>
        <w:rPr>
          <w:rFonts w:ascii="Calibri" w:hAnsi="Calibri" w:cs="Calibri"/>
          <w:b/>
          <w:bCs/>
          <w:sz w:val="20"/>
          <w:szCs w:val="20"/>
        </w:rPr>
      </w:pPr>
      <w:r w:rsidRPr="009B659D">
        <w:rPr>
          <w:rFonts w:ascii="Calibri" w:hAnsi="Calibri" w:cs="Calibri"/>
          <w:b/>
          <w:bCs/>
          <w:sz w:val="20"/>
          <w:szCs w:val="20"/>
        </w:rPr>
        <w:t>I</w:t>
      </w:r>
      <w:r w:rsidR="000F7608" w:rsidRPr="009B659D">
        <w:rPr>
          <w:rFonts w:ascii="Calibri" w:hAnsi="Calibri" w:cs="Calibri"/>
          <w:b/>
          <w:bCs/>
          <w:sz w:val="20"/>
          <w:szCs w:val="20"/>
        </w:rPr>
        <w:t xml:space="preserve"> </w:t>
      </w:r>
      <w:r w:rsidRPr="009B659D">
        <w:rPr>
          <w:rFonts w:ascii="Calibri" w:hAnsi="Calibri" w:cs="Calibri"/>
          <w:b/>
          <w:bCs/>
          <w:sz w:val="20"/>
          <w:szCs w:val="20"/>
        </w:rPr>
        <w:t>autonomiczny system SUG w:</w:t>
      </w:r>
    </w:p>
    <w:p w14:paraId="33498B3E" w14:textId="48322E6B" w:rsidR="000F7608" w:rsidRPr="009B659D" w:rsidRDefault="00163477" w:rsidP="00A571C4">
      <w:pPr>
        <w:pStyle w:val="Akapitzlist"/>
        <w:spacing w:after="0" w:line="240" w:lineRule="auto"/>
        <w:ind w:left="284"/>
        <w:jc w:val="both"/>
        <w:rPr>
          <w:rFonts w:ascii="Calibri" w:hAnsi="Calibri" w:cs="Calibri"/>
          <w:sz w:val="20"/>
          <w:szCs w:val="20"/>
        </w:rPr>
      </w:pPr>
      <w:r w:rsidRPr="009B659D">
        <w:rPr>
          <w:rFonts w:ascii="Calibri" w:hAnsi="Calibri" w:cs="Calibri"/>
          <w:sz w:val="20"/>
          <w:szCs w:val="20"/>
        </w:rPr>
        <w:t xml:space="preserve">nr II 0.35 (pom. pompowni </w:t>
      </w:r>
      <w:proofErr w:type="spellStart"/>
      <w:r w:rsidRPr="009B659D">
        <w:rPr>
          <w:rFonts w:ascii="Calibri" w:hAnsi="Calibri" w:cs="Calibri"/>
          <w:sz w:val="20"/>
          <w:szCs w:val="20"/>
        </w:rPr>
        <w:t>poż</w:t>
      </w:r>
      <w:proofErr w:type="spellEnd"/>
      <w:r w:rsidRPr="009B659D">
        <w:rPr>
          <w:rFonts w:ascii="Calibri" w:hAnsi="Calibri" w:cs="Calibri"/>
          <w:sz w:val="20"/>
          <w:szCs w:val="20"/>
        </w:rPr>
        <w:t xml:space="preserve">.) dwa zestawy pompowe 4 CRE </w:t>
      </w:r>
      <w:proofErr w:type="spellStart"/>
      <w:r w:rsidRPr="009B659D">
        <w:rPr>
          <w:rFonts w:ascii="Calibri" w:hAnsi="Calibri" w:cs="Calibri"/>
          <w:sz w:val="20"/>
          <w:szCs w:val="20"/>
        </w:rPr>
        <w:t>Grundfos</w:t>
      </w:r>
      <w:proofErr w:type="spellEnd"/>
      <w:r w:rsidRPr="009B659D">
        <w:rPr>
          <w:rFonts w:ascii="Calibri" w:hAnsi="Calibri" w:cs="Calibri"/>
          <w:sz w:val="20"/>
          <w:szCs w:val="20"/>
        </w:rPr>
        <w:t xml:space="preserve"> i 2 CRE </w:t>
      </w:r>
      <w:proofErr w:type="spellStart"/>
      <w:r w:rsidRPr="009B659D">
        <w:rPr>
          <w:rFonts w:ascii="Calibri" w:hAnsi="Calibri" w:cs="Calibri"/>
          <w:sz w:val="20"/>
          <w:szCs w:val="20"/>
        </w:rPr>
        <w:t>Grundfos</w:t>
      </w:r>
      <w:proofErr w:type="spellEnd"/>
      <w:r w:rsidR="000F7608" w:rsidRPr="009B659D">
        <w:rPr>
          <w:rFonts w:ascii="Calibri" w:hAnsi="Calibri" w:cs="Calibri"/>
          <w:sz w:val="20"/>
          <w:szCs w:val="20"/>
        </w:rPr>
        <w:t xml:space="preserve"> </w:t>
      </w:r>
      <w:r w:rsidRPr="009B659D">
        <w:rPr>
          <w:rFonts w:ascii="Calibri" w:hAnsi="Calibri" w:cs="Calibri"/>
          <w:sz w:val="20"/>
          <w:szCs w:val="20"/>
        </w:rPr>
        <w:t xml:space="preserve">nr II 0.36 (agregat na wodę lodową) agregat: AERMEC NXW0750 E (1202006215330001) i sprężarka powietrzna </w:t>
      </w:r>
      <w:proofErr w:type="spellStart"/>
      <w:r w:rsidRPr="009B659D">
        <w:rPr>
          <w:rFonts w:ascii="Calibri" w:hAnsi="Calibri" w:cs="Calibri"/>
          <w:sz w:val="20"/>
          <w:szCs w:val="20"/>
        </w:rPr>
        <w:t>Airpress</w:t>
      </w:r>
      <w:proofErr w:type="spellEnd"/>
      <w:r w:rsidRPr="009B659D">
        <w:rPr>
          <w:rFonts w:ascii="Calibri" w:hAnsi="Calibri" w:cs="Calibri"/>
          <w:sz w:val="20"/>
          <w:szCs w:val="20"/>
        </w:rPr>
        <w:t xml:space="preserve"> APK-G 30/500 Combi </w:t>
      </w:r>
      <w:proofErr w:type="spellStart"/>
      <w:r w:rsidRPr="009B659D">
        <w:rPr>
          <w:rFonts w:ascii="Calibri" w:hAnsi="Calibri" w:cs="Calibri"/>
          <w:sz w:val="20"/>
          <w:szCs w:val="20"/>
        </w:rPr>
        <w:t>Dry</w:t>
      </w:r>
      <w:proofErr w:type="spellEnd"/>
      <w:r w:rsidR="000F7608" w:rsidRPr="009B659D">
        <w:rPr>
          <w:rFonts w:ascii="Calibri" w:hAnsi="Calibri" w:cs="Calibri"/>
          <w:sz w:val="20"/>
          <w:szCs w:val="20"/>
        </w:rPr>
        <w:t>,</w:t>
      </w:r>
    </w:p>
    <w:p w14:paraId="74FDFE89" w14:textId="77777777" w:rsidR="000F7608" w:rsidRPr="009B659D" w:rsidRDefault="000F7608" w:rsidP="00A571C4">
      <w:pPr>
        <w:pStyle w:val="Akapitzlist"/>
        <w:spacing w:after="0" w:line="240" w:lineRule="auto"/>
        <w:ind w:left="284"/>
        <w:jc w:val="both"/>
        <w:rPr>
          <w:rFonts w:ascii="Calibri" w:hAnsi="Calibri" w:cs="Calibri"/>
          <w:sz w:val="20"/>
          <w:szCs w:val="20"/>
        </w:rPr>
      </w:pPr>
    </w:p>
    <w:p w14:paraId="4504812B" w14:textId="77777777" w:rsidR="000F7608" w:rsidRPr="009B659D" w:rsidRDefault="00163477" w:rsidP="00A571C4">
      <w:pPr>
        <w:pStyle w:val="Akapitzlist"/>
        <w:spacing w:after="0" w:line="240" w:lineRule="auto"/>
        <w:ind w:left="284"/>
        <w:jc w:val="both"/>
        <w:rPr>
          <w:rFonts w:ascii="Calibri" w:hAnsi="Calibri" w:cs="Calibri"/>
          <w:b/>
          <w:bCs/>
          <w:sz w:val="20"/>
          <w:szCs w:val="20"/>
        </w:rPr>
      </w:pPr>
      <w:r w:rsidRPr="009B659D">
        <w:rPr>
          <w:rFonts w:ascii="Calibri" w:hAnsi="Calibri" w:cs="Calibri"/>
          <w:b/>
          <w:bCs/>
          <w:sz w:val="20"/>
          <w:szCs w:val="20"/>
        </w:rPr>
        <w:t>II</w:t>
      </w:r>
      <w:r w:rsidR="000F7608" w:rsidRPr="009B659D">
        <w:rPr>
          <w:rFonts w:ascii="Calibri" w:hAnsi="Calibri" w:cs="Calibri"/>
          <w:b/>
          <w:bCs/>
          <w:sz w:val="20"/>
          <w:szCs w:val="20"/>
        </w:rPr>
        <w:t xml:space="preserve"> </w:t>
      </w:r>
      <w:r w:rsidRPr="009B659D">
        <w:rPr>
          <w:rFonts w:ascii="Calibri" w:hAnsi="Calibri" w:cs="Calibri"/>
          <w:b/>
          <w:bCs/>
          <w:sz w:val="20"/>
          <w:szCs w:val="20"/>
        </w:rPr>
        <w:t>system SUG dla budynku Centrum Technologicznego:</w:t>
      </w:r>
    </w:p>
    <w:p w14:paraId="0AA8653F" w14:textId="3E902898" w:rsidR="00163477" w:rsidRPr="009B659D" w:rsidRDefault="00163477" w:rsidP="00A571C4">
      <w:pPr>
        <w:pStyle w:val="Akapitzlist"/>
        <w:numPr>
          <w:ilvl w:val="0"/>
          <w:numId w:val="3"/>
        </w:numPr>
        <w:spacing w:after="0" w:line="240" w:lineRule="auto"/>
        <w:jc w:val="both"/>
        <w:rPr>
          <w:rFonts w:ascii="Calibri" w:hAnsi="Calibri" w:cs="Calibri"/>
          <w:sz w:val="20"/>
          <w:szCs w:val="20"/>
        </w:rPr>
      </w:pPr>
      <w:r w:rsidRPr="009B659D">
        <w:rPr>
          <w:rFonts w:ascii="Calibri" w:hAnsi="Calibri" w:cs="Calibri"/>
          <w:sz w:val="20"/>
          <w:szCs w:val="20"/>
        </w:rPr>
        <w:t xml:space="preserve">system będzie zasilany z zasilacza awaryjnego </w:t>
      </w:r>
      <w:proofErr w:type="spellStart"/>
      <w:r w:rsidRPr="009B659D">
        <w:rPr>
          <w:rFonts w:ascii="Calibri" w:hAnsi="Calibri" w:cs="Calibri"/>
          <w:sz w:val="20"/>
          <w:szCs w:val="20"/>
        </w:rPr>
        <w:t>Schrack</w:t>
      </w:r>
      <w:proofErr w:type="spellEnd"/>
      <w:r w:rsidRPr="009B659D">
        <w:rPr>
          <w:rFonts w:ascii="Calibri" w:hAnsi="Calibri" w:cs="Calibri"/>
          <w:sz w:val="20"/>
          <w:szCs w:val="20"/>
        </w:rPr>
        <w:t xml:space="preserve"> UPS USML 10 S2 (nr seryjny ME47UT189220003) w pomieszczeniu nr II 0.30 (rozdzielnia NN),</w:t>
      </w:r>
    </w:p>
    <w:p w14:paraId="02A7537F" w14:textId="77777777" w:rsidR="000F7608" w:rsidRPr="009B659D" w:rsidRDefault="00163477" w:rsidP="00A571C4">
      <w:pPr>
        <w:pStyle w:val="Akapitzlist"/>
        <w:numPr>
          <w:ilvl w:val="0"/>
          <w:numId w:val="3"/>
        </w:numPr>
        <w:spacing w:after="0" w:line="240" w:lineRule="auto"/>
        <w:jc w:val="both"/>
        <w:rPr>
          <w:rFonts w:ascii="Calibri" w:hAnsi="Calibri" w:cs="Calibri"/>
          <w:sz w:val="20"/>
          <w:szCs w:val="20"/>
        </w:rPr>
      </w:pPr>
      <w:r w:rsidRPr="009B659D">
        <w:rPr>
          <w:rFonts w:ascii="Calibri" w:hAnsi="Calibri" w:cs="Calibri"/>
          <w:sz w:val="20"/>
          <w:szCs w:val="20"/>
        </w:rPr>
        <w:t>w pomieszczeniu nr II 0.29 (pomieszczenie agregatu prądotwórczego) zostaną zlokalizowane zbiorniki SUG na gaz procesowy np. FM200, rozdzielnia gazowa oraz centralka systemu sterującego SUG</w:t>
      </w:r>
      <w:r w:rsidR="000F7608" w:rsidRPr="009B659D">
        <w:rPr>
          <w:rFonts w:ascii="Calibri" w:hAnsi="Calibri" w:cs="Calibri"/>
          <w:sz w:val="20"/>
          <w:szCs w:val="20"/>
        </w:rPr>
        <w:t xml:space="preserve"> </w:t>
      </w:r>
    </w:p>
    <w:p w14:paraId="39F8C554" w14:textId="7777777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nr II 0.29  (pomieszczenie agregatu prądotwórczego) z agregatem FOGO FD 500 ASCG (nr fabryczny D 7737 z 2013 roku),</w:t>
      </w:r>
    </w:p>
    <w:p w14:paraId="532B9363" w14:textId="7777777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 xml:space="preserve">nr II 0.30  (rozdzielnia NN) zawierająca dziewięć pól rozdzielczych EATON </w:t>
      </w:r>
      <w:proofErr w:type="spellStart"/>
      <w:r w:rsidRPr="009B659D">
        <w:rPr>
          <w:rFonts w:ascii="Calibri" w:hAnsi="Calibri" w:cs="Calibri"/>
          <w:sz w:val="20"/>
          <w:szCs w:val="20"/>
        </w:rPr>
        <w:t>xEnergy</w:t>
      </w:r>
      <w:proofErr w:type="spellEnd"/>
      <w:r w:rsidRPr="009B659D">
        <w:rPr>
          <w:rFonts w:ascii="Calibri" w:hAnsi="Calibri" w:cs="Calibri"/>
          <w:sz w:val="20"/>
          <w:szCs w:val="20"/>
        </w:rPr>
        <w:t xml:space="preserve"> Elite,</w:t>
      </w:r>
    </w:p>
    <w:p w14:paraId="5E3670F7" w14:textId="7777777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nr II 0.29a (pom. na baterie) z urządzeniem CEAG ZB-S/10C3-40071347085</w:t>
      </w:r>
    </w:p>
    <w:p w14:paraId="7BE61930" w14:textId="619BE5E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nr II 0.31  (trafostacja) -</w:t>
      </w:r>
      <w:r w:rsidR="000F7608" w:rsidRPr="009B659D">
        <w:rPr>
          <w:rFonts w:ascii="Calibri" w:hAnsi="Calibri" w:cs="Calibri"/>
          <w:sz w:val="20"/>
          <w:szCs w:val="20"/>
        </w:rPr>
        <w:t xml:space="preserve"> </w:t>
      </w:r>
      <w:r w:rsidRPr="009B659D">
        <w:rPr>
          <w:rFonts w:ascii="Calibri" w:hAnsi="Calibri" w:cs="Calibri"/>
          <w:sz w:val="20"/>
          <w:szCs w:val="20"/>
        </w:rPr>
        <w:t xml:space="preserve">obecność napięcia 15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z transformatorem suchym 15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 0,4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o mocy 1.600 kVA</w:t>
      </w:r>
    </w:p>
    <w:p w14:paraId="4BD387D2" w14:textId="066F1D79"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lastRenderedPageBreak/>
        <w:t>nr II 0.32  (rozdzielnia SN nr ST 01-X2035) -</w:t>
      </w:r>
      <w:r w:rsidR="00EB1CF7">
        <w:rPr>
          <w:rFonts w:ascii="Calibri" w:hAnsi="Calibri" w:cs="Calibri"/>
          <w:sz w:val="20"/>
          <w:szCs w:val="20"/>
        </w:rPr>
        <w:t xml:space="preserve"> </w:t>
      </w:r>
      <w:r w:rsidRPr="009B659D">
        <w:rPr>
          <w:rFonts w:ascii="Calibri" w:hAnsi="Calibri" w:cs="Calibri"/>
          <w:sz w:val="20"/>
          <w:szCs w:val="20"/>
        </w:rPr>
        <w:t xml:space="preserve">obecność napięcia 15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rozdzielnica SN HABER Energia RGSN HABeR-SM6 z 2012 roku</w:t>
      </w:r>
    </w:p>
    <w:p w14:paraId="0C986FBF" w14:textId="4D2C48A1"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 xml:space="preserve">rozdzielnia SN nr ST 01-X2119 budynek kontenerowej, wolnostojącej stacji transformatorowej PAS KST/PAS-296/456-A-LLPW -obecność napięcia 15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z transformatorem suchym 15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 0,4 </w:t>
      </w:r>
      <w:proofErr w:type="spellStart"/>
      <w:r w:rsidRPr="009B659D">
        <w:rPr>
          <w:rFonts w:ascii="Calibri" w:hAnsi="Calibri" w:cs="Calibri"/>
          <w:sz w:val="20"/>
          <w:szCs w:val="20"/>
        </w:rPr>
        <w:t>kV</w:t>
      </w:r>
      <w:proofErr w:type="spellEnd"/>
      <w:r w:rsidRPr="009B659D">
        <w:rPr>
          <w:rFonts w:ascii="Calibri" w:hAnsi="Calibri" w:cs="Calibri"/>
          <w:sz w:val="20"/>
          <w:szCs w:val="20"/>
        </w:rPr>
        <w:t xml:space="preserve"> o mocy 1.600 kVA</w:t>
      </w:r>
      <w:r w:rsidR="000F7608" w:rsidRPr="009B659D">
        <w:rPr>
          <w:rFonts w:ascii="Calibri" w:hAnsi="Calibri" w:cs="Calibri"/>
          <w:sz w:val="20"/>
          <w:szCs w:val="20"/>
        </w:rPr>
        <w:t>,</w:t>
      </w:r>
    </w:p>
    <w:p w14:paraId="0EA9A98C" w14:textId="77777777" w:rsidR="000F7608" w:rsidRPr="009B659D" w:rsidRDefault="00163477" w:rsidP="00A571C4">
      <w:pPr>
        <w:pStyle w:val="Akapitzlist"/>
        <w:numPr>
          <w:ilvl w:val="0"/>
          <w:numId w:val="3"/>
        </w:numPr>
        <w:spacing w:after="0" w:line="240" w:lineRule="auto"/>
        <w:jc w:val="both"/>
        <w:rPr>
          <w:rFonts w:ascii="Calibri" w:hAnsi="Calibri" w:cs="Calibri"/>
          <w:sz w:val="20"/>
          <w:szCs w:val="20"/>
        </w:rPr>
      </w:pPr>
      <w:r w:rsidRPr="009B659D">
        <w:rPr>
          <w:rFonts w:ascii="Calibri" w:hAnsi="Calibri" w:cs="Calibri"/>
          <w:sz w:val="20"/>
          <w:szCs w:val="20"/>
        </w:rPr>
        <w:t>zadziałanie systemu powoduje emisję gazu procesowego FM200 oraz wyłączenie wyłączników SN w:</w:t>
      </w:r>
    </w:p>
    <w:p w14:paraId="35D23088" w14:textId="7777777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nr II 0.32  (rozdzielnia SN) SAREL WL.24.06.16 nr seryjny 006235 / 2012</w:t>
      </w:r>
      <w:r w:rsidR="000F7608" w:rsidRPr="009B659D">
        <w:rPr>
          <w:rFonts w:ascii="Calibri" w:hAnsi="Calibri" w:cs="Calibri"/>
          <w:sz w:val="20"/>
          <w:szCs w:val="20"/>
        </w:rPr>
        <w:t xml:space="preserve"> </w:t>
      </w:r>
      <w:r w:rsidRPr="009B659D">
        <w:rPr>
          <w:rFonts w:ascii="Calibri" w:hAnsi="Calibri" w:cs="Calibri"/>
          <w:sz w:val="20"/>
          <w:szCs w:val="20"/>
        </w:rPr>
        <w:t>budynek kontenerowej, wolnostojącej stacji transformatorowej ABB VD4 / R 24.06.16 nr seryjny 1VC1BG00034451</w:t>
      </w:r>
    </w:p>
    <w:p w14:paraId="2A4738FB" w14:textId="7759CD9F"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oraz wyzwolenie alarmu w ogólnym systemie SAP obiektu, przy czym obowiązkiem Wykonawcy jest ustalenie, czy wskazane wyłączniki SN są</w:t>
      </w:r>
      <w:r w:rsidR="000F7608" w:rsidRPr="009B659D">
        <w:rPr>
          <w:rFonts w:ascii="Calibri" w:hAnsi="Calibri" w:cs="Calibri"/>
          <w:sz w:val="20"/>
          <w:szCs w:val="20"/>
        </w:rPr>
        <w:t xml:space="preserve"> </w:t>
      </w:r>
      <w:r w:rsidRPr="009B659D">
        <w:rPr>
          <w:rFonts w:ascii="Calibri" w:hAnsi="Calibri" w:cs="Calibri"/>
          <w:sz w:val="20"/>
          <w:szCs w:val="20"/>
        </w:rPr>
        <w:t>wyposażone w stosowne wyzwalacze, możliwe do wykorzystania, czy należy je w odpowiednie wyzwalacze doposażyć, z dokładnym wskazaniem, w jakie wyzwalacze,</w:t>
      </w:r>
      <w:r w:rsidR="000F7608" w:rsidRPr="009B659D">
        <w:rPr>
          <w:rFonts w:ascii="Calibri" w:hAnsi="Calibri" w:cs="Calibri"/>
          <w:sz w:val="20"/>
          <w:szCs w:val="20"/>
        </w:rPr>
        <w:t xml:space="preserve"> </w:t>
      </w:r>
      <w:r w:rsidRPr="009B659D">
        <w:rPr>
          <w:rFonts w:ascii="Calibri" w:hAnsi="Calibri" w:cs="Calibri"/>
          <w:sz w:val="20"/>
          <w:szCs w:val="20"/>
        </w:rPr>
        <w:t>w jaki sposób je zamontować, oraz jaką techniką i przy zastosowaniu jakich metod</w:t>
      </w:r>
      <w:r w:rsidR="000F7608" w:rsidRPr="009B659D">
        <w:rPr>
          <w:rFonts w:ascii="Calibri" w:hAnsi="Calibri" w:cs="Calibri"/>
          <w:sz w:val="20"/>
          <w:szCs w:val="20"/>
        </w:rPr>
        <w:t>,</w:t>
      </w:r>
    </w:p>
    <w:p w14:paraId="03AFA023" w14:textId="77777777" w:rsidR="000F7608" w:rsidRPr="009B659D" w:rsidRDefault="000F7608" w:rsidP="00A571C4">
      <w:pPr>
        <w:pStyle w:val="Akapitzlist"/>
        <w:spacing w:after="0" w:line="240" w:lineRule="auto"/>
        <w:ind w:left="644"/>
        <w:jc w:val="both"/>
        <w:rPr>
          <w:rFonts w:ascii="Calibri" w:hAnsi="Calibri" w:cs="Calibri"/>
          <w:sz w:val="20"/>
          <w:szCs w:val="20"/>
        </w:rPr>
      </w:pPr>
    </w:p>
    <w:p w14:paraId="3FD6DC3C" w14:textId="77777777" w:rsidR="000F7608" w:rsidRPr="009B659D" w:rsidRDefault="00163477" w:rsidP="00A571C4">
      <w:pPr>
        <w:spacing w:after="0" w:line="240" w:lineRule="auto"/>
        <w:ind w:firstLine="284"/>
        <w:jc w:val="both"/>
        <w:rPr>
          <w:rFonts w:ascii="Calibri" w:hAnsi="Calibri" w:cs="Calibri"/>
          <w:b/>
          <w:bCs/>
          <w:sz w:val="20"/>
          <w:szCs w:val="20"/>
        </w:rPr>
      </w:pPr>
      <w:r w:rsidRPr="009B659D">
        <w:rPr>
          <w:rFonts w:ascii="Calibri" w:hAnsi="Calibri" w:cs="Calibri"/>
          <w:b/>
          <w:bCs/>
          <w:sz w:val="20"/>
          <w:szCs w:val="20"/>
        </w:rPr>
        <w:t>III</w:t>
      </w:r>
      <w:r w:rsidR="000F7608" w:rsidRPr="009B659D">
        <w:rPr>
          <w:rFonts w:ascii="Calibri" w:hAnsi="Calibri" w:cs="Calibri"/>
          <w:b/>
          <w:bCs/>
          <w:sz w:val="20"/>
          <w:szCs w:val="20"/>
        </w:rPr>
        <w:t xml:space="preserve"> </w:t>
      </w:r>
      <w:r w:rsidRPr="009B659D">
        <w:rPr>
          <w:rFonts w:ascii="Calibri" w:hAnsi="Calibri" w:cs="Calibri"/>
          <w:b/>
          <w:bCs/>
          <w:sz w:val="20"/>
          <w:szCs w:val="20"/>
        </w:rPr>
        <w:t>system SUG dla budynku Inkubatora Technologicznego i Administracji:</w:t>
      </w:r>
    </w:p>
    <w:p w14:paraId="19E2819F" w14:textId="0AA5C9C2" w:rsidR="00163477" w:rsidRPr="009B659D" w:rsidRDefault="00163477" w:rsidP="00A571C4">
      <w:pPr>
        <w:pStyle w:val="Akapitzlist"/>
        <w:numPr>
          <w:ilvl w:val="0"/>
          <w:numId w:val="4"/>
        </w:numPr>
        <w:spacing w:after="0" w:line="240" w:lineRule="auto"/>
        <w:jc w:val="both"/>
        <w:rPr>
          <w:rFonts w:ascii="Calibri" w:hAnsi="Calibri" w:cs="Calibri"/>
          <w:sz w:val="20"/>
          <w:szCs w:val="20"/>
        </w:rPr>
      </w:pPr>
      <w:r w:rsidRPr="009B659D">
        <w:rPr>
          <w:rFonts w:ascii="Calibri" w:hAnsi="Calibri" w:cs="Calibri"/>
          <w:sz w:val="20"/>
          <w:szCs w:val="20"/>
        </w:rPr>
        <w:t>system będzie zasilany z zasilacza awaryjnego AGPOWER ETXL 10 (nr seryjny</w:t>
      </w:r>
      <w:r w:rsidR="000F7608" w:rsidRPr="009B659D">
        <w:rPr>
          <w:rFonts w:ascii="Calibri" w:hAnsi="Calibri" w:cs="Calibri"/>
          <w:sz w:val="20"/>
          <w:szCs w:val="20"/>
        </w:rPr>
        <w:t xml:space="preserve"> </w:t>
      </w:r>
      <w:r w:rsidRPr="009B659D">
        <w:rPr>
          <w:rFonts w:ascii="Calibri" w:hAnsi="Calibri" w:cs="Calibri"/>
          <w:sz w:val="20"/>
          <w:szCs w:val="20"/>
        </w:rPr>
        <w:t>210026641BA5217300008) w pomieszczeniu nr II -1.07 (rozdzielnia NN)</w:t>
      </w:r>
      <w:r w:rsidR="000F7608" w:rsidRPr="009B659D">
        <w:rPr>
          <w:rFonts w:ascii="Calibri" w:hAnsi="Calibri" w:cs="Calibri"/>
          <w:sz w:val="20"/>
          <w:szCs w:val="20"/>
        </w:rPr>
        <w:t>,</w:t>
      </w:r>
    </w:p>
    <w:p w14:paraId="418DB3D1" w14:textId="77777777" w:rsidR="000F7608" w:rsidRPr="009B659D" w:rsidRDefault="00163477" w:rsidP="00A571C4">
      <w:pPr>
        <w:pStyle w:val="Akapitzlist"/>
        <w:numPr>
          <w:ilvl w:val="0"/>
          <w:numId w:val="4"/>
        </w:numPr>
        <w:spacing w:after="0" w:line="240" w:lineRule="auto"/>
        <w:jc w:val="both"/>
        <w:rPr>
          <w:rFonts w:ascii="Calibri" w:hAnsi="Calibri" w:cs="Calibri"/>
          <w:sz w:val="20"/>
          <w:szCs w:val="20"/>
        </w:rPr>
      </w:pPr>
      <w:r w:rsidRPr="009B659D">
        <w:rPr>
          <w:rFonts w:ascii="Calibri" w:hAnsi="Calibri" w:cs="Calibri"/>
          <w:sz w:val="20"/>
          <w:szCs w:val="20"/>
        </w:rPr>
        <w:t xml:space="preserve">w pomieszczeniu nr II -1.05 (przepompownia </w:t>
      </w:r>
      <w:proofErr w:type="spellStart"/>
      <w:r w:rsidRPr="009B659D">
        <w:rPr>
          <w:rFonts w:ascii="Calibri" w:hAnsi="Calibri" w:cs="Calibri"/>
          <w:sz w:val="20"/>
          <w:szCs w:val="20"/>
        </w:rPr>
        <w:t>poż</w:t>
      </w:r>
      <w:proofErr w:type="spellEnd"/>
      <w:r w:rsidRPr="009B659D">
        <w:rPr>
          <w:rFonts w:ascii="Calibri" w:hAnsi="Calibri" w:cs="Calibri"/>
          <w:sz w:val="20"/>
          <w:szCs w:val="20"/>
        </w:rPr>
        <w:t>) zostaną zlokalizowane zbiorniki SUG na gaz procesowy np. FM200, rozdzielnia gazowa oraz centralka systemu sterującego SUG</w:t>
      </w:r>
    </w:p>
    <w:p w14:paraId="2EE4E91C" w14:textId="7777777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 xml:space="preserve">nr II -1.07 (rozdzielnia NN) zawierająca sześć pól rozdzielczych EATON </w:t>
      </w:r>
      <w:proofErr w:type="spellStart"/>
      <w:r w:rsidRPr="009B659D">
        <w:rPr>
          <w:rFonts w:ascii="Calibri" w:hAnsi="Calibri" w:cs="Calibri"/>
          <w:sz w:val="20"/>
          <w:szCs w:val="20"/>
        </w:rPr>
        <w:t>xEnergy</w:t>
      </w:r>
      <w:proofErr w:type="spellEnd"/>
      <w:r w:rsidRPr="009B659D">
        <w:rPr>
          <w:rFonts w:ascii="Calibri" w:hAnsi="Calibri" w:cs="Calibri"/>
          <w:sz w:val="20"/>
          <w:szCs w:val="20"/>
        </w:rPr>
        <w:t xml:space="preserve"> Elite</w:t>
      </w:r>
    </w:p>
    <w:p w14:paraId="2696292D" w14:textId="77777777"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nr II -1.06 (agregat na wodę lodową) AERMEC NXW1004X E (2211886116730001)</w:t>
      </w:r>
    </w:p>
    <w:p w14:paraId="35543855" w14:textId="34CFA8E8" w:rsidR="000F7608" w:rsidRPr="009B659D" w:rsidRDefault="00163477" w:rsidP="00A571C4">
      <w:pPr>
        <w:pStyle w:val="Akapitzlist"/>
        <w:spacing w:after="0" w:line="240" w:lineRule="auto"/>
        <w:ind w:left="644"/>
        <w:jc w:val="both"/>
        <w:rPr>
          <w:rFonts w:ascii="Calibri" w:hAnsi="Calibri" w:cs="Calibri"/>
          <w:sz w:val="20"/>
          <w:szCs w:val="20"/>
        </w:rPr>
      </w:pPr>
      <w:r w:rsidRPr="009B659D">
        <w:rPr>
          <w:rFonts w:ascii="Calibri" w:hAnsi="Calibri" w:cs="Calibri"/>
          <w:sz w:val="20"/>
          <w:szCs w:val="20"/>
        </w:rPr>
        <w:t xml:space="preserve">nr II -1.05 (przepompownia </w:t>
      </w:r>
      <w:proofErr w:type="spellStart"/>
      <w:r w:rsidRPr="009B659D">
        <w:rPr>
          <w:rFonts w:ascii="Calibri" w:hAnsi="Calibri" w:cs="Calibri"/>
          <w:sz w:val="20"/>
          <w:szCs w:val="20"/>
        </w:rPr>
        <w:t>poż</w:t>
      </w:r>
      <w:proofErr w:type="spellEnd"/>
      <w:r w:rsidRPr="009B659D">
        <w:rPr>
          <w:rFonts w:ascii="Calibri" w:hAnsi="Calibri" w:cs="Calibri"/>
          <w:sz w:val="20"/>
          <w:szCs w:val="20"/>
        </w:rPr>
        <w:t>) dwa zestawy pompowe ZHEV 10.6.2 MM 60 i ZHEV 15/3/4 MM 60</w:t>
      </w:r>
      <w:r w:rsidR="000F7608" w:rsidRPr="009B659D">
        <w:rPr>
          <w:rFonts w:ascii="Calibri" w:hAnsi="Calibri" w:cs="Calibri"/>
          <w:sz w:val="20"/>
          <w:szCs w:val="20"/>
        </w:rPr>
        <w:t>,</w:t>
      </w:r>
    </w:p>
    <w:p w14:paraId="4D3A3297" w14:textId="5091B7CB" w:rsidR="00163477" w:rsidRPr="009B659D" w:rsidRDefault="00163477" w:rsidP="00A571C4">
      <w:pPr>
        <w:pStyle w:val="Akapitzlist"/>
        <w:numPr>
          <w:ilvl w:val="0"/>
          <w:numId w:val="4"/>
        </w:numPr>
        <w:spacing w:after="0" w:line="240" w:lineRule="auto"/>
        <w:jc w:val="both"/>
        <w:rPr>
          <w:rFonts w:ascii="Calibri" w:hAnsi="Calibri" w:cs="Calibri"/>
          <w:sz w:val="20"/>
          <w:szCs w:val="20"/>
        </w:rPr>
      </w:pPr>
      <w:r w:rsidRPr="009B659D">
        <w:rPr>
          <w:rFonts w:ascii="Calibri" w:hAnsi="Calibri" w:cs="Calibri"/>
          <w:sz w:val="20"/>
          <w:szCs w:val="20"/>
        </w:rPr>
        <w:t>zadziałanie systemu powoduje emisję gazu procesowego FM200 oraz wyłączenie wyłączników SN w:</w:t>
      </w:r>
      <w:r w:rsidR="000F7608" w:rsidRPr="009B659D">
        <w:rPr>
          <w:rFonts w:ascii="Calibri" w:hAnsi="Calibri" w:cs="Calibri"/>
          <w:sz w:val="20"/>
          <w:szCs w:val="20"/>
        </w:rPr>
        <w:t xml:space="preserve"> </w:t>
      </w:r>
      <w:r w:rsidRPr="009B659D">
        <w:rPr>
          <w:rFonts w:ascii="Calibri" w:hAnsi="Calibri" w:cs="Calibri"/>
          <w:sz w:val="20"/>
          <w:szCs w:val="20"/>
        </w:rPr>
        <w:t>budynek kontenerowej, wolnostojącej stacji transformatorowej ABB VD4 / R 24.06.16 nr seryjny 1VC1BG00034451</w:t>
      </w:r>
      <w:r w:rsidR="000F7608" w:rsidRPr="009B659D">
        <w:rPr>
          <w:rFonts w:ascii="Calibri" w:hAnsi="Calibri" w:cs="Calibri"/>
          <w:sz w:val="20"/>
          <w:szCs w:val="20"/>
        </w:rPr>
        <w:t>,</w:t>
      </w:r>
    </w:p>
    <w:p w14:paraId="1E3AEE2A" w14:textId="26262B48" w:rsidR="006715D8" w:rsidRPr="009B659D" w:rsidRDefault="00163477" w:rsidP="00A571C4">
      <w:pPr>
        <w:spacing w:after="0" w:line="240" w:lineRule="auto"/>
        <w:ind w:firstLine="284"/>
        <w:jc w:val="both"/>
        <w:rPr>
          <w:rFonts w:ascii="Calibri" w:hAnsi="Calibri" w:cs="Calibri"/>
          <w:sz w:val="20"/>
          <w:szCs w:val="20"/>
        </w:rPr>
      </w:pPr>
      <w:r w:rsidRPr="009B659D">
        <w:rPr>
          <w:rFonts w:ascii="Calibri" w:hAnsi="Calibri" w:cs="Calibri"/>
          <w:sz w:val="20"/>
          <w:szCs w:val="20"/>
        </w:rPr>
        <w:t>oraz wyzwolenie alarmu w ogólnym systemie SAP obiektu.</w:t>
      </w:r>
    </w:p>
    <w:sectPr w:rsidR="006715D8" w:rsidRPr="009B659D" w:rsidSect="00A571C4">
      <w:headerReference w:type="default" r:id="rId7"/>
      <w:footerReference w:type="default" r:id="rId8"/>
      <w:pgSz w:w="11906" w:h="16838"/>
      <w:pgMar w:top="1648"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4120" w14:textId="77777777" w:rsidR="00723AD5" w:rsidRDefault="00723AD5" w:rsidP="00723AD5">
      <w:pPr>
        <w:spacing w:after="0" w:line="240" w:lineRule="auto"/>
      </w:pPr>
      <w:r>
        <w:separator/>
      </w:r>
    </w:p>
  </w:endnote>
  <w:endnote w:type="continuationSeparator" w:id="0">
    <w:p w14:paraId="49A1D433" w14:textId="77777777" w:rsidR="00723AD5" w:rsidRDefault="00723AD5" w:rsidP="0072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8F5B" w14:textId="2FB7114F" w:rsidR="00723AD5" w:rsidRPr="00723AD5" w:rsidRDefault="00723AD5" w:rsidP="00723AD5">
    <w:pPr>
      <w:pStyle w:val="Stopka"/>
      <w:tabs>
        <w:tab w:val="clear" w:pos="9072"/>
        <w:tab w:val="right" w:pos="9356"/>
      </w:tabs>
      <w:ind w:right="52"/>
      <w:jc w:val="right"/>
      <w:rPr>
        <w:rFonts w:ascii="Tahoma" w:hAnsi="Tahoma" w:cs="Tahoma"/>
        <w:sz w:val="16"/>
        <w:szCs w:val="16"/>
      </w:rPr>
    </w:pPr>
    <w:r>
      <w:rPr>
        <w:noProof/>
      </w:rPr>
      <mc:AlternateContent>
        <mc:Choice Requires="wps">
          <w:drawing>
            <wp:anchor distT="0" distB="0" distL="114300" distR="114300" simplePos="0" relativeHeight="251661312" behindDoc="0" locked="0" layoutInCell="1" allowOverlap="1" wp14:anchorId="514D5507" wp14:editId="6BA5ECE9">
              <wp:simplePos x="0" y="0"/>
              <wp:positionH relativeFrom="margin">
                <wp:posOffset>97790</wp:posOffset>
              </wp:positionH>
              <wp:positionV relativeFrom="paragraph">
                <wp:posOffset>-8255</wp:posOffset>
              </wp:positionV>
              <wp:extent cx="5882640" cy="0"/>
              <wp:effectExtent l="12065" t="10795" r="10795" b="8255"/>
              <wp:wrapNone/>
              <wp:docPr id="1169674641"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55DD6"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7pt,-.65pt" to="470.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" strokeweight=".5pt">
              <w10:wrap anchorx="margin"/>
            </v:line>
          </w:pict>
        </mc:Fallback>
      </mc:AlternateContent>
    </w:r>
    <w:r w:rsidRPr="002608E7">
      <w:rPr>
        <w:rFonts w:ascii="Tahoma" w:hAnsi="Tahoma" w:cs="Tahoma"/>
        <w:sz w:val="14"/>
        <w:szCs w:val="16"/>
      </w:rPr>
      <w:fldChar w:fldCharType="begin"/>
    </w:r>
    <w:r w:rsidRPr="002608E7">
      <w:rPr>
        <w:rFonts w:ascii="Tahoma" w:hAnsi="Tahoma" w:cs="Tahoma"/>
        <w:sz w:val="14"/>
        <w:szCs w:val="16"/>
      </w:rPr>
      <w:instrText xml:space="preserve"> PAGE  \* Arabic </w:instrText>
    </w:r>
    <w:r w:rsidRPr="002608E7">
      <w:rPr>
        <w:rFonts w:ascii="Tahoma" w:hAnsi="Tahoma" w:cs="Tahoma"/>
        <w:sz w:val="14"/>
        <w:szCs w:val="16"/>
      </w:rPr>
      <w:fldChar w:fldCharType="separate"/>
    </w:r>
    <w:r>
      <w:rPr>
        <w:rFonts w:ascii="Tahoma" w:hAnsi="Tahoma" w:cs="Tahoma"/>
        <w:sz w:val="14"/>
        <w:szCs w:val="16"/>
      </w:rPr>
      <w:t>1</w:t>
    </w:r>
    <w:r w:rsidRPr="002608E7">
      <w:rPr>
        <w:rFonts w:ascii="Tahoma" w:hAnsi="Tahoma" w:cs="Tahoma"/>
        <w:sz w:val="14"/>
        <w:szCs w:val="16"/>
      </w:rPr>
      <w:fldChar w:fldCharType="end"/>
    </w:r>
    <w:r w:rsidRPr="002608E7">
      <w:rPr>
        <w:rFonts w:ascii="Tahoma" w:hAnsi="Tahoma" w:cs="Tahoma"/>
        <w:sz w:val="14"/>
        <w:szCs w:val="16"/>
      </w:rPr>
      <w:t xml:space="preserve"> / </w:t>
    </w:r>
    <w:r w:rsidRPr="002608E7">
      <w:rPr>
        <w:rFonts w:ascii="Tahoma" w:hAnsi="Tahoma" w:cs="Tahoma"/>
        <w:sz w:val="14"/>
        <w:szCs w:val="16"/>
      </w:rPr>
      <w:fldChar w:fldCharType="begin"/>
    </w:r>
    <w:r w:rsidRPr="002608E7">
      <w:rPr>
        <w:rFonts w:ascii="Tahoma" w:hAnsi="Tahoma" w:cs="Tahoma"/>
        <w:sz w:val="14"/>
        <w:szCs w:val="16"/>
      </w:rPr>
      <w:instrText xml:space="preserve"> NUMPAGES </w:instrText>
    </w:r>
    <w:r w:rsidRPr="002608E7">
      <w:rPr>
        <w:rFonts w:ascii="Tahoma" w:hAnsi="Tahoma" w:cs="Tahoma"/>
        <w:sz w:val="14"/>
        <w:szCs w:val="16"/>
      </w:rPr>
      <w:fldChar w:fldCharType="separate"/>
    </w:r>
    <w:r>
      <w:rPr>
        <w:rFonts w:ascii="Tahoma" w:hAnsi="Tahoma" w:cs="Tahoma"/>
        <w:sz w:val="14"/>
        <w:szCs w:val="16"/>
      </w:rPr>
      <w:t>4</w:t>
    </w:r>
    <w:r w:rsidRPr="002608E7">
      <w:rPr>
        <w:rFonts w:ascii="Tahoma" w:hAnsi="Tahoma" w:cs="Tahoma"/>
        <w:noProof/>
        <w:sz w:val="14"/>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825E" w14:textId="77777777" w:rsidR="00723AD5" w:rsidRDefault="00723AD5" w:rsidP="00723AD5">
      <w:pPr>
        <w:spacing w:after="0" w:line="240" w:lineRule="auto"/>
      </w:pPr>
      <w:r>
        <w:separator/>
      </w:r>
    </w:p>
  </w:footnote>
  <w:footnote w:type="continuationSeparator" w:id="0">
    <w:p w14:paraId="7AA58831" w14:textId="77777777" w:rsidR="00723AD5" w:rsidRDefault="00723AD5" w:rsidP="0072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2CEF" w14:textId="77777777" w:rsidR="009B659D" w:rsidRDefault="00723AD5" w:rsidP="00A571C4">
    <w:pPr>
      <w:spacing w:after="0" w:line="240" w:lineRule="auto"/>
      <w:jc w:val="both"/>
      <w:rPr>
        <w:rFonts w:ascii="Calibri" w:eastAsia="Times New Roman" w:hAnsi="Calibri" w:cs="Calibri"/>
        <w:kern w:val="0"/>
        <w:sz w:val="16"/>
        <w:szCs w:val="16"/>
        <w:lang w:eastAsia="pl-PL"/>
        <w14:ligatures w14:val="none"/>
      </w:rPr>
    </w:pPr>
    <w:bookmarkStart w:id="0" w:name="_Hlk178928438"/>
    <w:bookmarkStart w:id="1" w:name="_Hlk178928439"/>
    <w:bookmarkStart w:id="2" w:name="_Hlk178928440"/>
    <w:bookmarkStart w:id="3" w:name="_Hlk178928441"/>
    <w:bookmarkStart w:id="4" w:name="_Hlk178928702"/>
    <w:bookmarkStart w:id="5" w:name="_Hlk178928703"/>
    <w:bookmarkStart w:id="6" w:name="_Hlk178928704"/>
    <w:bookmarkStart w:id="7" w:name="_Hlk178928705"/>
    <w:bookmarkStart w:id="8" w:name="_Hlk178928706"/>
    <w:bookmarkStart w:id="9" w:name="_Hlk178928707"/>
    <w:bookmarkStart w:id="10" w:name="_Hlk178928708"/>
    <w:bookmarkStart w:id="11" w:name="_Hlk178928709"/>
    <w:r w:rsidRPr="009B659D">
      <w:rPr>
        <w:rFonts w:ascii="Calibri" w:eastAsia="Times New Roman" w:hAnsi="Calibri" w:cs="Calibri"/>
        <w:b/>
        <w:kern w:val="0"/>
        <w:sz w:val="16"/>
        <w:szCs w:val="16"/>
        <w:lang w:eastAsia="pl-PL"/>
        <w14:ligatures w14:val="none"/>
      </w:rPr>
      <w:t>BPN-T.271.</w:t>
    </w:r>
    <w:r w:rsidR="009B659D">
      <w:rPr>
        <w:rFonts w:ascii="Calibri" w:eastAsia="Times New Roman" w:hAnsi="Calibri" w:cs="Calibri"/>
        <w:b/>
        <w:kern w:val="0"/>
        <w:sz w:val="16"/>
        <w:szCs w:val="16"/>
        <w:lang w:eastAsia="pl-PL"/>
        <w14:ligatures w14:val="none"/>
      </w:rPr>
      <w:t>31</w:t>
    </w:r>
    <w:r w:rsidRPr="009B659D">
      <w:rPr>
        <w:rFonts w:ascii="Calibri" w:eastAsia="Times New Roman" w:hAnsi="Calibri" w:cs="Calibri"/>
        <w:b/>
        <w:kern w:val="0"/>
        <w:sz w:val="16"/>
        <w:szCs w:val="16"/>
        <w:lang w:eastAsia="pl-PL"/>
        <w14:ligatures w14:val="none"/>
      </w:rPr>
      <w:t>.2025</w:t>
    </w:r>
    <w:bookmarkStart w:id="12" w:name="_Hlk180566209"/>
  </w:p>
  <w:p w14:paraId="6316AA77" w14:textId="78230E20" w:rsidR="00723AD5" w:rsidRPr="009B659D" w:rsidRDefault="00DB79CC" w:rsidP="009B659D">
    <w:pPr>
      <w:spacing w:after="0" w:line="240" w:lineRule="auto"/>
      <w:jc w:val="both"/>
      <w:rPr>
        <w:rFonts w:ascii="Calibri" w:eastAsia="Times New Roman" w:hAnsi="Calibri" w:cs="Calibri"/>
        <w:kern w:val="0"/>
        <w:sz w:val="16"/>
        <w:szCs w:val="16"/>
        <w:lang w:eastAsia="pl-PL"/>
        <w14:ligatures w14:val="none"/>
      </w:rPr>
    </w:pPr>
    <w:r>
      <w:rPr>
        <w:rFonts w:ascii="Calibri" w:eastAsia="Times New Roman" w:hAnsi="Calibri" w:cs="Calibri"/>
        <w:kern w:val="0"/>
        <w:sz w:val="16"/>
        <w:szCs w:val="16"/>
        <w:lang w:eastAsia="pl-PL"/>
        <w14:ligatures w14:val="none"/>
      </w:rPr>
      <w:t>„</w:t>
    </w:r>
    <w:r w:rsidR="004E0271" w:rsidRPr="009B659D">
      <w:rPr>
        <w:rFonts w:ascii="Calibri" w:eastAsia="Times New Roman" w:hAnsi="Calibri" w:cs="Calibri"/>
        <w:kern w:val="0"/>
        <w:sz w:val="16"/>
        <w:szCs w:val="16"/>
        <w:lang w:eastAsia="pl-PL"/>
        <w14:ligatures w14:val="none"/>
      </w:rPr>
      <w:t>Opracowanie dokumentacji technicznej Stałego Urządzenia Gaśniczego pomieszczeń technicznych w budynkach Inkubatora i Centrum Białostockiego Parku Naukowo-Technologicznego</w:t>
    </w:r>
    <w:r>
      <w:rPr>
        <w:rFonts w:ascii="Calibri" w:eastAsia="Times New Roman" w:hAnsi="Calibri" w:cs="Calibri"/>
        <w:kern w:val="0"/>
        <w:sz w:val="16"/>
        <w:szCs w:val="16"/>
        <w:lang w:eastAsia="pl-PL"/>
        <w14:ligatures w14:val="none"/>
      </w:rPr>
      <w:t>”</w:t>
    </w:r>
  </w:p>
  <w:bookmarkEnd w:id="12"/>
  <w:p w14:paraId="2659E68E" w14:textId="3DD9C2A7" w:rsidR="00723AD5" w:rsidRPr="00A571C4" w:rsidRDefault="00723AD5" w:rsidP="00A571C4">
    <w:pPr>
      <w:spacing w:after="120" w:line="240" w:lineRule="auto"/>
      <w:jc w:val="both"/>
      <w:rPr>
        <w:rFonts w:ascii="Verdana" w:eastAsia="Times New Roman" w:hAnsi="Verdana" w:cs="Times New Roman"/>
        <w:kern w:val="0"/>
        <w:sz w:val="18"/>
        <w:lang w:eastAsia="zh-CN"/>
        <w14:ligatures w14:val="none"/>
      </w:rPr>
    </w:pPr>
    <w:r w:rsidRPr="00723AD5">
      <w:rPr>
        <w:rFonts w:ascii="Verdana" w:eastAsia="Times New Roman" w:hAnsi="Verdana" w:cs="Tahoma"/>
        <w:b/>
        <w:noProof/>
        <w:kern w:val="0"/>
        <w:sz w:val="14"/>
        <w:lang w:eastAsia="pl-PL"/>
        <w14:ligatures w14:val="none"/>
      </w:rPr>
      <mc:AlternateContent>
        <mc:Choice Requires="wps">
          <w:drawing>
            <wp:anchor distT="0" distB="0" distL="114300" distR="114300" simplePos="0" relativeHeight="251659264" behindDoc="0" locked="0" layoutInCell="1" allowOverlap="1" wp14:anchorId="36653107" wp14:editId="0C5DF252">
              <wp:simplePos x="0" y="0"/>
              <wp:positionH relativeFrom="column">
                <wp:posOffset>-7836</wp:posOffset>
              </wp:positionH>
              <wp:positionV relativeFrom="paragraph">
                <wp:posOffset>51113</wp:posOffset>
              </wp:positionV>
              <wp:extent cx="5793513" cy="0"/>
              <wp:effectExtent l="0" t="0" r="0" b="0"/>
              <wp:wrapNone/>
              <wp:docPr id="62042618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51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DBE97"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pt" to="455.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" strokeweight=".5pt"/>
          </w:pict>
        </mc:Fallback>
      </mc:AlternateContent>
    </w:r>
    <w:bookmarkEnd w:id="0"/>
    <w:bookmarkEnd w:id="1"/>
    <w:bookmarkEnd w:id="2"/>
    <w:bookmarkEnd w:id="3"/>
    <w:bookmarkEnd w:id="4"/>
    <w:bookmarkEnd w:id="5"/>
    <w:bookmarkEnd w:id="6"/>
    <w:bookmarkEnd w:id="7"/>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6A4F"/>
    <w:multiLevelType w:val="hybridMultilevel"/>
    <w:tmpl w:val="434E8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8F5917"/>
    <w:multiLevelType w:val="hybridMultilevel"/>
    <w:tmpl w:val="7DC8E366"/>
    <w:lvl w:ilvl="0" w:tplc="7410F5C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57C61B56"/>
    <w:multiLevelType w:val="hybridMultilevel"/>
    <w:tmpl w:val="002AB642"/>
    <w:lvl w:ilvl="0" w:tplc="04150017">
      <w:start w:val="1"/>
      <w:numFmt w:val="lowerLetter"/>
      <w:lvlText w:val="%1)"/>
      <w:lvlJc w:val="left"/>
      <w:pPr>
        <w:ind w:left="720" w:hanging="360"/>
      </w:pPr>
    </w:lvl>
    <w:lvl w:ilvl="1" w:tplc="9BAE0452">
      <w:start w:val="1"/>
      <w:numFmt w:val="decimal"/>
      <w:lvlText w:val="%2."/>
      <w:lvlJc w:val="left"/>
      <w:pPr>
        <w:ind w:left="1440" w:hanging="360"/>
      </w:pPr>
      <w:rPr>
        <w:rFonts w:ascii="Calibri" w:eastAsiaTheme="minorHAnsi" w:hAnsi="Calibri"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210738"/>
    <w:multiLevelType w:val="hybridMultilevel"/>
    <w:tmpl w:val="E4F08978"/>
    <w:lvl w:ilvl="0" w:tplc="2D741AF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745420133">
    <w:abstractNumId w:val="0"/>
  </w:num>
  <w:num w:numId="2" w16cid:durableId="1524897761">
    <w:abstractNumId w:val="2"/>
  </w:num>
  <w:num w:numId="3" w16cid:durableId="120804719">
    <w:abstractNumId w:val="1"/>
  </w:num>
  <w:num w:numId="4" w16cid:durableId="1006328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D2"/>
    <w:rsid w:val="000455B7"/>
    <w:rsid w:val="000F7608"/>
    <w:rsid w:val="00102ACA"/>
    <w:rsid w:val="00163477"/>
    <w:rsid w:val="0016741C"/>
    <w:rsid w:val="00204E14"/>
    <w:rsid w:val="00287DDC"/>
    <w:rsid w:val="002D5014"/>
    <w:rsid w:val="002E7A92"/>
    <w:rsid w:val="003C3A22"/>
    <w:rsid w:val="003F2FCC"/>
    <w:rsid w:val="004405EB"/>
    <w:rsid w:val="004C4DBA"/>
    <w:rsid w:val="004E0271"/>
    <w:rsid w:val="00501BBA"/>
    <w:rsid w:val="00633B06"/>
    <w:rsid w:val="0067097C"/>
    <w:rsid w:val="006715D8"/>
    <w:rsid w:val="006A245F"/>
    <w:rsid w:val="00723AD5"/>
    <w:rsid w:val="00744865"/>
    <w:rsid w:val="007A4A8B"/>
    <w:rsid w:val="00870312"/>
    <w:rsid w:val="009223CA"/>
    <w:rsid w:val="009B659D"/>
    <w:rsid w:val="009E4F52"/>
    <w:rsid w:val="009F3D54"/>
    <w:rsid w:val="00A16E53"/>
    <w:rsid w:val="00A40F64"/>
    <w:rsid w:val="00A571C4"/>
    <w:rsid w:val="00A70D5D"/>
    <w:rsid w:val="00AC6191"/>
    <w:rsid w:val="00B66604"/>
    <w:rsid w:val="00B77DF7"/>
    <w:rsid w:val="00B85E22"/>
    <w:rsid w:val="00B94B9C"/>
    <w:rsid w:val="00BB6835"/>
    <w:rsid w:val="00BF16E1"/>
    <w:rsid w:val="00CE12D2"/>
    <w:rsid w:val="00D34FE8"/>
    <w:rsid w:val="00D80954"/>
    <w:rsid w:val="00D83A1D"/>
    <w:rsid w:val="00D970AE"/>
    <w:rsid w:val="00DB79CC"/>
    <w:rsid w:val="00E501EA"/>
    <w:rsid w:val="00E70712"/>
    <w:rsid w:val="00EB1CF7"/>
    <w:rsid w:val="00F013B5"/>
    <w:rsid w:val="00F16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91EBA2"/>
  <w15:chartTrackingRefBased/>
  <w15:docId w15:val="{2A093BB3-51F0-44B4-A8E9-6B260802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E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E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E12D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E12D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E12D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E12D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E12D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E12D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E12D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12D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E12D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E12D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E12D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E12D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E12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E12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E12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E12D2"/>
    <w:rPr>
      <w:rFonts w:eastAsiaTheme="majorEastAsia" w:cstheme="majorBidi"/>
      <w:color w:val="272727" w:themeColor="text1" w:themeTint="D8"/>
    </w:rPr>
  </w:style>
  <w:style w:type="paragraph" w:styleId="Tytu">
    <w:name w:val="Title"/>
    <w:basedOn w:val="Normalny"/>
    <w:next w:val="Normalny"/>
    <w:link w:val="TytuZnak"/>
    <w:uiPriority w:val="10"/>
    <w:qFormat/>
    <w:rsid w:val="00CE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12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E12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E12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E12D2"/>
    <w:pPr>
      <w:spacing w:before="160"/>
      <w:jc w:val="center"/>
    </w:pPr>
    <w:rPr>
      <w:i/>
      <w:iCs/>
      <w:color w:val="404040" w:themeColor="text1" w:themeTint="BF"/>
    </w:rPr>
  </w:style>
  <w:style w:type="character" w:customStyle="1" w:styleId="CytatZnak">
    <w:name w:val="Cytat Znak"/>
    <w:basedOn w:val="Domylnaczcionkaakapitu"/>
    <w:link w:val="Cytat"/>
    <w:uiPriority w:val="29"/>
    <w:rsid w:val="00CE12D2"/>
    <w:rPr>
      <w:i/>
      <w:iCs/>
      <w:color w:val="404040" w:themeColor="text1" w:themeTint="BF"/>
    </w:rPr>
  </w:style>
  <w:style w:type="paragraph" w:styleId="Akapitzlist">
    <w:name w:val="List Paragraph"/>
    <w:basedOn w:val="Normalny"/>
    <w:uiPriority w:val="34"/>
    <w:qFormat/>
    <w:rsid w:val="00CE12D2"/>
    <w:pPr>
      <w:ind w:left="720"/>
      <w:contextualSpacing/>
    </w:pPr>
  </w:style>
  <w:style w:type="character" w:styleId="Wyrnienieintensywne">
    <w:name w:val="Intense Emphasis"/>
    <w:basedOn w:val="Domylnaczcionkaakapitu"/>
    <w:uiPriority w:val="21"/>
    <w:qFormat/>
    <w:rsid w:val="00CE12D2"/>
    <w:rPr>
      <w:i/>
      <w:iCs/>
      <w:color w:val="0F4761" w:themeColor="accent1" w:themeShade="BF"/>
    </w:rPr>
  </w:style>
  <w:style w:type="paragraph" w:styleId="Cytatintensywny">
    <w:name w:val="Intense Quote"/>
    <w:basedOn w:val="Normalny"/>
    <w:next w:val="Normalny"/>
    <w:link w:val="CytatintensywnyZnak"/>
    <w:uiPriority w:val="30"/>
    <w:qFormat/>
    <w:rsid w:val="00CE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E12D2"/>
    <w:rPr>
      <w:i/>
      <w:iCs/>
      <w:color w:val="0F4761" w:themeColor="accent1" w:themeShade="BF"/>
    </w:rPr>
  </w:style>
  <w:style w:type="character" w:styleId="Odwoanieintensywne">
    <w:name w:val="Intense Reference"/>
    <w:basedOn w:val="Domylnaczcionkaakapitu"/>
    <w:uiPriority w:val="32"/>
    <w:qFormat/>
    <w:rsid w:val="00CE12D2"/>
    <w:rPr>
      <w:b/>
      <w:bCs/>
      <w:smallCaps/>
      <w:color w:val="0F4761" w:themeColor="accent1" w:themeShade="BF"/>
      <w:spacing w:val="5"/>
    </w:rPr>
  </w:style>
  <w:style w:type="paragraph" w:styleId="Nagwek">
    <w:name w:val="header"/>
    <w:basedOn w:val="Normalny"/>
    <w:link w:val="NagwekZnak"/>
    <w:uiPriority w:val="99"/>
    <w:unhideWhenUsed/>
    <w:rsid w:val="00723A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3AD5"/>
  </w:style>
  <w:style w:type="paragraph" w:styleId="Stopka">
    <w:name w:val="footer"/>
    <w:basedOn w:val="Normalny"/>
    <w:link w:val="StopkaZnak"/>
    <w:unhideWhenUsed/>
    <w:rsid w:val="00723AD5"/>
    <w:pPr>
      <w:tabs>
        <w:tab w:val="center" w:pos="4536"/>
        <w:tab w:val="right" w:pos="9072"/>
      </w:tabs>
      <w:spacing w:after="0" w:line="240" w:lineRule="auto"/>
    </w:pPr>
  </w:style>
  <w:style w:type="character" w:customStyle="1" w:styleId="StopkaZnak">
    <w:name w:val="Stopka Znak"/>
    <w:basedOn w:val="Domylnaczcionkaakapitu"/>
    <w:link w:val="Stopka"/>
    <w:rsid w:val="00723AD5"/>
  </w:style>
  <w:style w:type="character" w:styleId="Odwoaniedokomentarza">
    <w:name w:val="annotation reference"/>
    <w:basedOn w:val="Domylnaczcionkaakapitu"/>
    <w:uiPriority w:val="99"/>
    <w:semiHidden/>
    <w:unhideWhenUsed/>
    <w:rsid w:val="00204E14"/>
    <w:rPr>
      <w:sz w:val="16"/>
      <w:szCs w:val="16"/>
    </w:rPr>
  </w:style>
  <w:style w:type="paragraph" w:styleId="Tekstkomentarza">
    <w:name w:val="annotation text"/>
    <w:basedOn w:val="Normalny"/>
    <w:link w:val="TekstkomentarzaZnak"/>
    <w:uiPriority w:val="99"/>
    <w:unhideWhenUsed/>
    <w:rsid w:val="00204E14"/>
    <w:pPr>
      <w:spacing w:line="240" w:lineRule="auto"/>
    </w:pPr>
    <w:rPr>
      <w:sz w:val="20"/>
      <w:szCs w:val="20"/>
    </w:rPr>
  </w:style>
  <w:style w:type="character" w:customStyle="1" w:styleId="TekstkomentarzaZnak">
    <w:name w:val="Tekst komentarza Znak"/>
    <w:basedOn w:val="Domylnaczcionkaakapitu"/>
    <w:link w:val="Tekstkomentarza"/>
    <w:uiPriority w:val="99"/>
    <w:rsid w:val="00204E14"/>
    <w:rPr>
      <w:sz w:val="20"/>
      <w:szCs w:val="20"/>
    </w:rPr>
  </w:style>
  <w:style w:type="paragraph" w:styleId="Tematkomentarza">
    <w:name w:val="annotation subject"/>
    <w:basedOn w:val="Tekstkomentarza"/>
    <w:next w:val="Tekstkomentarza"/>
    <w:link w:val="TematkomentarzaZnak"/>
    <w:uiPriority w:val="99"/>
    <w:semiHidden/>
    <w:unhideWhenUsed/>
    <w:rsid w:val="00204E14"/>
    <w:rPr>
      <w:b/>
      <w:bCs/>
    </w:rPr>
  </w:style>
  <w:style w:type="character" w:customStyle="1" w:styleId="TematkomentarzaZnak">
    <w:name w:val="Temat komentarza Znak"/>
    <w:basedOn w:val="TekstkomentarzaZnak"/>
    <w:link w:val="Tematkomentarza"/>
    <w:uiPriority w:val="99"/>
    <w:semiHidden/>
    <w:rsid w:val="00204E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08224">
      <w:bodyDiv w:val="1"/>
      <w:marLeft w:val="0"/>
      <w:marRight w:val="0"/>
      <w:marTop w:val="0"/>
      <w:marBottom w:val="0"/>
      <w:divBdr>
        <w:top w:val="none" w:sz="0" w:space="0" w:color="auto"/>
        <w:left w:val="none" w:sz="0" w:space="0" w:color="auto"/>
        <w:bottom w:val="none" w:sz="0" w:space="0" w:color="auto"/>
        <w:right w:val="none" w:sz="0" w:space="0" w:color="auto"/>
      </w:divBdr>
    </w:div>
    <w:div w:id="139685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C0547-85B5-49B0-82C1-D13D51499A10}"/>
</file>

<file path=customXml/itemProps2.xml><?xml version="1.0" encoding="utf-8"?>
<ds:datastoreItem xmlns:ds="http://schemas.openxmlformats.org/officeDocument/2006/customXml" ds:itemID="{C0229D62-FD9E-4DDD-8983-6A5DF53BCF51}"/>
</file>

<file path=customXml/itemProps3.xml><?xml version="1.0" encoding="utf-8"?>
<ds:datastoreItem xmlns:ds="http://schemas.openxmlformats.org/officeDocument/2006/customXml" ds:itemID="{B87C6F8E-B7DA-48B4-8AB1-B33FFFAFE589}"/>
</file>

<file path=docProps/app.xml><?xml version="1.0" encoding="utf-8"?>
<Properties xmlns="http://schemas.openxmlformats.org/officeDocument/2006/extended-properties" xmlns:vt="http://schemas.openxmlformats.org/officeDocument/2006/docPropsVTypes">
  <Template>Normal</Template>
  <TotalTime>144</TotalTime>
  <Pages>4</Pages>
  <Words>2225</Words>
  <Characters>13352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BPN-T.271.1.31.2025 - ZAŁĄCZNIK NR 2 (OPZ).docx</dc:title>
  <dc:subject/>
  <dc:creator>Sławomir Szymborski</dc:creator>
  <cp:keywords/>
  <dc:description/>
  <cp:lastModifiedBy>Paulina Kot</cp:lastModifiedBy>
  <cp:revision>9</cp:revision>
  <dcterms:created xsi:type="dcterms:W3CDTF">2025-01-10T10:35:00Z</dcterms:created>
  <dcterms:modified xsi:type="dcterms:W3CDTF">2025-03-03T09:18:00Z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